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5DF9AA6D" w:rsidR="0007571B" w:rsidRDefault="002107A4" w:rsidP="00B62F3E">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B62F3E">
              <w:rPr>
                <w:rFonts w:ascii="Times New Roman" w:eastAsia="Times New Roman" w:hAnsi="Times New Roman" w:cs="Times New Roman"/>
                <w:color w:val="000000"/>
                <w:sz w:val="24"/>
                <w:szCs w:val="24"/>
              </w:rPr>
              <w:t xml:space="preserve">Київській </w:t>
            </w:r>
            <w:r>
              <w:rPr>
                <w:rFonts w:ascii="Times New Roman" w:eastAsia="Times New Roman" w:hAnsi="Times New Roman" w:cs="Times New Roman"/>
                <w:color w:val="000000"/>
                <w:sz w:val="24"/>
                <w:szCs w:val="24"/>
              </w:rPr>
              <w:t>області</w:t>
            </w:r>
            <w:r w:rsidR="008D767C">
              <w:rPr>
                <w:rFonts w:ascii="Times New Roman" w:eastAsia="Times New Roman" w:hAnsi="Times New Roman" w:cs="Times New Roman"/>
                <w:color w:val="000000"/>
                <w:sz w:val="24"/>
                <w:szCs w:val="24"/>
              </w:rPr>
              <w:t>, категорія «В»</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41680DC" w14:textId="36F9E0F7" w:rsidR="00DE41C8" w:rsidRPr="00DE41C8" w:rsidRDefault="00DE41C8" w:rsidP="00DE41C8">
            <w:pPr>
              <w:spacing w:after="0" w:line="276" w:lineRule="auto"/>
              <w:ind w:left="78" w:right="280"/>
              <w:jc w:val="both"/>
              <w:rPr>
                <w:sz w:val="24"/>
                <w:szCs w:val="24"/>
              </w:rPr>
            </w:pPr>
            <w:r w:rsidRPr="00DE41C8">
              <w:rPr>
                <w:rFonts w:ascii="Times New Roman" w:eastAsia="Times New Roman" w:hAnsi="Times New Roman" w:cs="Times New Roman"/>
                <w:sz w:val="24"/>
                <w:szCs w:val="24"/>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14:paraId="1E5A6578" w14:textId="3D3B013A"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sidRPr="00DE41C8">
              <w:rPr>
                <w:rFonts w:ascii="Times New Roman" w:eastAsia="Times New Roman" w:hAnsi="Times New Roman" w:cs="Times New Roman"/>
                <w:sz w:val="24"/>
                <w:szCs w:val="24"/>
              </w:rPr>
              <w:t>- здійснює документальне оформлення вступу на державну службу, її проходження та припинення для державних службовців;</w:t>
            </w:r>
          </w:p>
          <w:p w14:paraId="0CF375A7" w14:textId="77B5CE60" w:rsidR="00DE41C8" w:rsidRPr="00DE41C8" w:rsidRDefault="00DE41C8" w:rsidP="00DE41C8">
            <w:pPr>
              <w:spacing w:after="0" w:line="276" w:lineRule="auto"/>
              <w:ind w:left="78" w:right="280"/>
              <w:jc w:val="both"/>
              <w:rPr>
                <w:rFonts w:asciiTheme="minorHAnsi" w:eastAsiaTheme="minorHAnsi" w:hAnsiTheme="minorHAnsi" w:cstheme="minorBidi"/>
                <w:sz w:val="24"/>
                <w:szCs w:val="24"/>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Pr>
                <w:rFonts w:ascii="Times New Roman" w:eastAsia="Times New Roman" w:hAnsi="Times New Roman" w:cs="Times New Roman"/>
                <w:sz w:val="24"/>
                <w:szCs w:val="24"/>
              </w:rPr>
              <w:t>;</w:t>
            </w:r>
          </w:p>
          <w:p w14:paraId="72F53EF6" w14:textId="31C8FD92"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Pr>
                <w:rFonts w:ascii="Times New Roman" w:eastAsia="Times New Roman" w:hAnsi="Times New Roman" w:cs="Times New Roman"/>
                <w:sz w:val="24"/>
                <w:szCs w:val="24"/>
              </w:rPr>
              <w:t>;</w:t>
            </w:r>
          </w:p>
          <w:p w14:paraId="457D6585" w14:textId="53A44760"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r>
              <w:rPr>
                <w:rFonts w:ascii="Times New Roman" w:eastAsia="Times New Roman" w:hAnsi="Times New Roman" w:cs="Times New Roman"/>
                <w:sz w:val="24"/>
                <w:szCs w:val="24"/>
              </w:rPr>
              <w:t>;</w:t>
            </w:r>
          </w:p>
          <w:p w14:paraId="76AC666C" w14:textId="4375F189" w:rsidR="00DE41C8" w:rsidRPr="00DE41C8" w:rsidRDefault="00DE41C8" w:rsidP="00DE41C8">
            <w:pPr>
              <w:spacing w:after="0" w:line="276" w:lineRule="auto"/>
              <w:ind w:left="78" w:right="2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 xml:space="preserve">дійснює аналіз потреби працівників у </w:t>
            </w:r>
            <w:r w:rsidRPr="00DE41C8">
              <w:rPr>
                <w:rFonts w:ascii="Times New Roman" w:eastAsia="Times New Roman" w:hAnsi="Times New Roman" w:cs="Times New Roman"/>
                <w:sz w:val="24"/>
                <w:szCs w:val="24"/>
                <w:lang w:eastAsia="en-US"/>
              </w:rPr>
              <w:t>підвищенні рівня професійної компетентності; проводить заходи щодо прогнозування розвитку персоналу, заохочення працівників до службової кар’єри</w:t>
            </w:r>
            <w:r>
              <w:rPr>
                <w:rFonts w:ascii="Times New Roman" w:eastAsia="Times New Roman" w:hAnsi="Times New Roman" w:cs="Times New Roman"/>
                <w:sz w:val="24"/>
                <w:szCs w:val="24"/>
              </w:rPr>
              <w:t>;</w:t>
            </w:r>
          </w:p>
          <w:p w14:paraId="4EE22589" w14:textId="29852C83"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Fonts w:ascii="Times New Roman" w:eastAsia="Times New Roman" w:hAnsi="Times New Roman" w:cs="Times New Roman"/>
                <w:sz w:val="24"/>
                <w:szCs w:val="24"/>
              </w:rPr>
              <w:t>;</w:t>
            </w:r>
          </w:p>
          <w:p w14:paraId="54C6CC9D" w14:textId="45CC2E12"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в</w:t>
            </w:r>
            <w:r w:rsidRPr="00DE41C8">
              <w:rPr>
                <w:rFonts w:ascii="Times New Roman" w:eastAsia="Times New Roman" w:hAnsi="Times New Roman" w:cs="Times New Roman"/>
                <w:sz w:val="24"/>
                <w:szCs w:val="24"/>
              </w:rPr>
              <w:t>еде встановлену звітно-облікову документацію, готує державну статистичну звітність з кадрових питань</w:t>
            </w:r>
            <w:r>
              <w:rPr>
                <w:rFonts w:ascii="Times New Roman" w:eastAsia="Times New Roman" w:hAnsi="Times New Roman" w:cs="Times New Roman"/>
                <w:sz w:val="24"/>
                <w:szCs w:val="24"/>
              </w:rPr>
              <w:t>;</w:t>
            </w:r>
          </w:p>
          <w:p w14:paraId="69A486B0" w14:textId="30BDD16F"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DE41C8">
              <w:rPr>
                <w:rFonts w:ascii="Times New Roman" w:eastAsia="Times New Roman" w:hAnsi="Times New Roman" w:cs="Times New Roman"/>
                <w:sz w:val="24"/>
                <w:szCs w:val="24"/>
              </w:rPr>
              <w:t xml:space="preserve">ормує графік відпусток персоналу управління, готує </w:t>
            </w:r>
            <w:proofErr w:type="spellStart"/>
            <w:r w:rsidRPr="00DE41C8">
              <w:rPr>
                <w:rFonts w:ascii="Times New Roman" w:eastAsia="Times New Roman" w:hAnsi="Times New Roman" w:cs="Times New Roman"/>
                <w:sz w:val="24"/>
                <w:szCs w:val="24"/>
              </w:rPr>
              <w:t>проєкти</w:t>
            </w:r>
            <w:proofErr w:type="spellEnd"/>
            <w:r w:rsidRPr="00DE41C8">
              <w:rPr>
                <w:rFonts w:ascii="Times New Roman" w:eastAsia="Times New Roman" w:hAnsi="Times New Roman" w:cs="Times New Roman"/>
                <w:sz w:val="24"/>
                <w:szCs w:val="24"/>
              </w:rPr>
              <w:t xml:space="preserve"> актів щодо надання відпусток персоналу, контролює їх подання та веде облік</w:t>
            </w:r>
            <w:r>
              <w:rPr>
                <w:rFonts w:ascii="Times New Roman" w:eastAsia="Times New Roman" w:hAnsi="Times New Roman" w:cs="Times New Roman"/>
                <w:sz w:val="24"/>
                <w:szCs w:val="24"/>
              </w:rPr>
              <w:t>;</w:t>
            </w:r>
          </w:p>
          <w:p w14:paraId="67CFFE1A" w14:textId="602AE429"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w:t>
            </w:r>
            <w:r w:rsidRPr="00DE41C8">
              <w:rPr>
                <w:rFonts w:ascii="Times New Roman" w:eastAsia="Times New Roman" w:hAnsi="Times New Roman" w:cs="Times New Roman"/>
                <w:sz w:val="24"/>
                <w:szCs w:val="24"/>
              </w:rPr>
              <w:t>дійснює облік військовозобов’язаних, проводить заходи щодо бронювання військовозобов’язаних, забезпечує контроль за станом військового обліку</w:t>
            </w:r>
            <w:r>
              <w:rPr>
                <w:rFonts w:ascii="Times New Roman" w:eastAsia="Times New Roman" w:hAnsi="Times New Roman" w:cs="Times New Roman"/>
                <w:sz w:val="24"/>
                <w:szCs w:val="24"/>
              </w:rPr>
              <w:t>;</w:t>
            </w:r>
          </w:p>
          <w:p w14:paraId="26A57C8F" w14:textId="61B98E1A" w:rsidR="0007571B" w:rsidRPr="00DE41C8" w:rsidRDefault="00DE41C8" w:rsidP="00DE41C8">
            <w:pPr>
              <w:pBdr>
                <w:top w:val="nil"/>
                <w:left w:val="nil"/>
                <w:bottom w:val="nil"/>
                <w:right w:val="nil"/>
                <w:between w:val="nil"/>
              </w:pBd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2F4D0F70" w14:textId="77777777" w:rsidR="007E7FC7" w:rsidRPr="00367D02" w:rsidRDefault="00947213" w:rsidP="007E7FC7">
            <w:pPr>
              <w:spacing w:after="0" w:line="240" w:lineRule="auto"/>
              <w:ind w:left="78" w:right="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D12C21">
              <w:rPr>
                <w:rFonts w:ascii="Times New Roman" w:eastAsia="Times New Roman" w:hAnsi="Times New Roman" w:cs="Times New Roman"/>
                <w:sz w:val="24"/>
                <w:szCs w:val="24"/>
                <w:u w:val="single"/>
              </w:rPr>
              <w:t>6</w:t>
            </w:r>
            <w:r w:rsidRPr="00CE3D4E">
              <w:rPr>
                <w:rFonts w:ascii="Times New Roman" w:eastAsia="Times New Roman" w:hAnsi="Times New Roman" w:cs="Times New Roman"/>
                <w:sz w:val="24"/>
                <w:szCs w:val="24"/>
                <w:u w:val="single"/>
              </w:rPr>
              <w:t>.</w:t>
            </w:r>
            <w:r w:rsidR="00D12C21">
              <w:rPr>
                <w:rFonts w:ascii="Times New Roman" w:eastAsia="Times New Roman" w:hAnsi="Times New Roman" w:cs="Times New Roman"/>
                <w:sz w:val="24"/>
                <w:szCs w:val="24"/>
                <w:u w:val="single"/>
              </w:rPr>
              <w:t>45</w:t>
            </w:r>
            <w:r w:rsidRPr="00CE3D4E">
              <w:rPr>
                <w:rFonts w:ascii="Times New Roman" w:eastAsia="Times New Roman" w:hAnsi="Times New Roman" w:cs="Times New Roman"/>
                <w:sz w:val="24"/>
                <w:szCs w:val="24"/>
              </w:rPr>
              <w:t xml:space="preserve"> години </w:t>
            </w:r>
            <w:r w:rsidR="00254753">
              <w:rPr>
                <w:rFonts w:ascii="Times New Roman" w:eastAsia="Times New Roman" w:hAnsi="Times New Roman" w:cs="Times New Roman"/>
                <w:sz w:val="24"/>
                <w:szCs w:val="24"/>
              </w:rPr>
              <w:t>1</w:t>
            </w:r>
            <w:r w:rsidR="00B62F3E">
              <w:rPr>
                <w:rFonts w:ascii="Times New Roman" w:eastAsia="Times New Roman" w:hAnsi="Times New Roman" w:cs="Times New Roman"/>
                <w:sz w:val="24"/>
                <w:szCs w:val="24"/>
              </w:rPr>
              <w:t>6</w:t>
            </w:r>
            <w:r w:rsidRPr="00367D02">
              <w:rPr>
                <w:rFonts w:ascii="Times New Roman" w:eastAsia="Times New Roman" w:hAnsi="Times New Roman" w:cs="Times New Roman"/>
                <w:sz w:val="24"/>
                <w:szCs w:val="24"/>
              </w:rPr>
              <w:t xml:space="preserve"> </w:t>
            </w:r>
            <w:r w:rsidR="00254753">
              <w:rPr>
                <w:rFonts w:ascii="Times New Roman" w:eastAsia="Times New Roman" w:hAnsi="Times New Roman" w:cs="Times New Roman"/>
                <w:sz w:val="24"/>
                <w:szCs w:val="24"/>
              </w:rPr>
              <w:t>сер</w:t>
            </w:r>
            <w:r w:rsidR="00E7055C">
              <w:rPr>
                <w:rFonts w:ascii="Times New Roman" w:eastAsia="Times New Roman" w:hAnsi="Times New Roman" w:cs="Times New Roman"/>
                <w:sz w:val="24"/>
                <w:szCs w:val="24"/>
              </w:rPr>
              <w:t>п</w:t>
            </w:r>
            <w:r w:rsidRPr="00367D02">
              <w:rPr>
                <w:rFonts w:ascii="Times New Roman" w:eastAsia="Times New Roman" w:hAnsi="Times New Roman" w:cs="Times New Roman"/>
                <w:sz w:val="24"/>
                <w:szCs w:val="24"/>
              </w:rPr>
              <w:t xml:space="preserve">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hyperlink r:id="rId5" w:history="1">
              <w:r w:rsidR="007E7FC7">
                <w:rPr>
                  <w:rStyle w:val="a7"/>
                  <w:rFonts w:ascii="Arial" w:hAnsi="Arial" w:cs="Arial"/>
                  <w:sz w:val="21"/>
                  <w:szCs w:val="21"/>
                </w:rPr>
                <w:t>kyivobl@sqe.gov.ua</w:t>
              </w:r>
            </w:hyperlink>
          </w:p>
          <w:p w14:paraId="6776B808" w14:textId="15672E89"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w:t>
            </w:r>
            <w:r w:rsidR="00B62F3E">
              <w:rPr>
                <w:rFonts w:ascii="Times New Roman" w:eastAsia="Times New Roman" w:hAnsi="Times New Roman" w:cs="Times New Roman"/>
                <w:sz w:val="24"/>
                <w:szCs w:val="24"/>
              </w:rPr>
              <w:t xml:space="preserve"> </w:t>
            </w:r>
            <w:proofErr w:type="spellStart"/>
            <w:r w:rsidR="00B62F3E">
              <w:rPr>
                <w:rFonts w:ascii="Times New Roman" w:eastAsia="Times New Roman" w:hAnsi="Times New Roman" w:cs="Times New Roman"/>
                <w:sz w:val="24"/>
                <w:szCs w:val="24"/>
              </w:rPr>
              <w:t>Дьомічева</w:t>
            </w:r>
            <w:proofErr w:type="spellEnd"/>
            <w:r w:rsidR="00B62F3E">
              <w:rPr>
                <w:rFonts w:ascii="Times New Roman" w:eastAsia="Times New Roman" w:hAnsi="Times New Roman" w:cs="Times New Roman"/>
                <w:sz w:val="24"/>
                <w:szCs w:val="24"/>
              </w:rPr>
              <w:t xml:space="preserve"> Костянтина </w:t>
            </w:r>
            <w:r w:rsidR="007E7FC7">
              <w:rPr>
                <w:rFonts w:ascii="Times New Roman" w:eastAsia="Times New Roman" w:hAnsi="Times New Roman" w:cs="Times New Roman"/>
                <w:sz w:val="24"/>
                <w:szCs w:val="24"/>
              </w:rPr>
              <w:t>Едуардовича</w:t>
            </w:r>
            <w:bookmarkStart w:id="1" w:name="_GoBack"/>
            <w:bookmarkEnd w:id="1"/>
            <w:r w:rsidRPr="00367D02">
              <w:rPr>
                <w:rFonts w:ascii="Times New Roman" w:eastAsia="Times New Roman" w:hAnsi="Times New Roman" w:cs="Times New Roman"/>
                <w:sz w:val="24"/>
                <w:szCs w:val="24"/>
              </w:rPr>
              <w:t xml:space="preserve">, </w:t>
            </w:r>
            <w:proofErr w:type="spellStart"/>
            <w:r w:rsidR="00367D02">
              <w:rPr>
                <w:rFonts w:ascii="Times New Roman" w:eastAsia="Times New Roman" w:hAnsi="Times New Roman" w:cs="Times New Roman"/>
                <w:sz w:val="24"/>
                <w:szCs w:val="24"/>
              </w:rPr>
              <w:t>т.в.о</w:t>
            </w:r>
            <w:proofErr w:type="spellEnd"/>
            <w:r w:rsidR="00367D02">
              <w:rPr>
                <w:rFonts w:ascii="Times New Roman" w:eastAsia="Times New Roman" w:hAnsi="Times New Roman" w:cs="Times New Roman"/>
                <w:sz w:val="24"/>
                <w:szCs w:val="24"/>
              </w:rPr>
              <w:t xml:space="preserve">. начальника управління Державної служби якості освіти у </w:t>
            </w:r>
            <w:r w:rsidR="00B62F3E">
              <w:rPr>
                <w:rFonts w:ascii="Times New Roman" w:eastAsia="Times New Roman" w:hAnsi="Times New Roman" w:cs="Times New Roman"/>
                <w:sz w:val="24"/>
                <w:szCs w:val="24"/>
              </w:rPr>
              <w:t>Київській</w:t>
            </w:r>
            <w:r w:rsidR="00367D02">
              <w:rPr>
                <w:rFonts w:ascii="Times New Roman" w:eastAsia="Times New Roman" w:hAnsi="Times New Roman" w:cs="Times New Roman"/>
                <w:sz w:val="24"/>
                <w:szCs w:val="24"/>
              </w:rPr>
              <w:t xml:space="preserve"> області </w:t>
            </w:r>
            <w:r w:rsidR="00B62F3E">
              <w:rPr>
                <w:rFonts w:ascii="Times New Roman" w:eastAsia="Times New Roman" w:hAnsi="Times New Roman" w:cs="Times New Roman"/>
                <w:sz w:val="24"/>
                <w:szCs w:val="24"/>
              </w:rPr>
              <w:t>за телефоном:0633966572</w:t>
            </w:r>
            <w:r w:rsidRPr="00367D02">
              <w:rPr>
                <w:rFonts w:ascii="Times New Roman" w:eastAsia="Times New Roman" w:hAnsi="Times New Roman" w:cs="Times New Roman"/>
                <w:sz w:val="24"/>
                <w:szCs w:val="24"/>
              </w:rPr>
              <w:t xml:space="preserve">, електронна адреса: </w:t>
            </w:r>
            <w:hyperlink r:id="rId6" w:history="1">
              <w:r w:rsidR="00B62F3E">
                <w:rPr>
                  <w:rStyle w:val="a7"/>
                  <w:rFonts w:ascii="Arial" w:hAnsi="Arial" w:cs="Arial"/>
                  <w:sz w:val="21"/>
                  <w:szCs w:val="21"/>
                </w:rPr>
                <w:t>kyivobl@sqe.gov.ua</w:t>
              </w:r>
            </w:hyperlink>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sidR="002107A4">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14:paraId="59A26263"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591).</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lastRenderedPageBreak/>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E16B06">
        <w:rPr>
          <w:rFonts w:ascii="Times New Roman" w:eastAsia="Times New Roman" w:hAnsi="Times New Roman" w:cs="Times New Roman"/>
          <w:sz w:val="24"/>
          <w:szCs w:val="24"/>
          <w:highlight w:val="white"/>
        </w:rPr>
        <w:t>вебсайті</w:t>
      </w:r>
      <w:proofErr w:type="spellEnd"/>
      <w:r w:rsidRPr="00E16B06">
        <w:rPr>
          <w:rFonts w:ascii="Times New Roman" w:eastAsia="Times New Roman" w:hAnsi="Times New Roman" w:cs="Times New Roman"/>
          <w:sz w:val="24"/>
          <w:szCs w:val="24"/>
          <w:highlight w:val="white"/>
        </w:rPr>
        <w:t xml:space="preserve">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 Не розглядаються документи осіб, які відповідно до </w:t>
      </w:r>
      <w:hyperlink r:id="rId7"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 w:val="00254753"/>
    <w:rsid w:val="002853A5"/>
    <w:rsid w:val="002E4F76"/>
    <w:rsid w:val="0030329F"/>
    <w:rsid w:val="00327790"/>
    <w:rsid w:val="00367D02"/>
    <w:rsid w:val="00374120"/>
    <w:rsid w:val="003C35BA"/>
    <w:rsid w:val="003F31A8"/>
    <w:rsid w:val="004019B5"/>
    <w:rsid w:val="00513A22"/>
    <w:rsid w:val="00636FD8"/>
    <w:rsid w:val="006B0465"/>
    <w:rsid w:val="007E7FC7"/>
    <w:rsid w:val="008D767C"/>
    <w:rsid w:val="008E4EA6"/>
    <w:rsid w:val="00947213"/>
    <w:rsid w:val="009B0815"/>
    <w:rsid w:val="009C3D82"/>
    <w:rsid w:val="009C686F"/>
    <w:rsid w:val="00A32722"/>
    <w:rsid w:val="00A45E54"/>
    <w:rsid w:val="00B33379"/>
    <w:rsid w:val="00B62F3E"/>
    <w:rsid w:val="00C2748A"/>
    <w:rsid w:val="00C5147A"/>
    <w:rsid w:val="00C56AFE"/>
    <w:rsid w:val="00C758A0"/>
    <w:rsid w:val="00CE3D4E"/>
    <w:rsid w:val="00CE77B1"/>
    <w:rsid w:val="00D12C21"/>
    <w:rsid w:val="00DE41C8"/>
    <w:rsid w:val="00E16B06"/>
    <w:rsid w:val="00E7055C"/>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 w:type="character" w:styleId="a7">
    <w:name w:val="Hyperlink"/>
    <w:basedOn w:val="a0"/>
    <w:uiPriority w:val="99"/>
    <w:semiHidden/>
    <w:unhideWhenUsed/>
    <w:rsid w:val="00B62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4847</Words>
  <Characters>2763</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Konstantin.Diomichev</cp:lastModifiedBy>
  <cp:revision>3</cp:revision>
  <dcterms:created xsi:type="dcterms:W3CDTF">2023-08-14T12:23:00Z</dcterms:created>
  <dcterms:modified xsi:type="dcterms:W3CDTF">2023-08-14T12:58:00Z</dcterms:modified>
</cp:coreProperties>
</file>