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13" w:rsidRPr="000B2E32" w:rsidRDefault="006A6295" w:rsidP="00D77F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ЗАПИСКА </w:t>
      </w: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br/>
        <w:t>до про</w:t>
      </w:r>
      <w:r w:rsidR="00661C1E" w:rsidRPr="000B2E3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3E21F7" w:rsidRPr="000B2E32">
        <w:rPr>
          <w:rFonts w:ascii="Times New Roman" w:hAnsi="Times New Roman" w:cs="Times New Roman"/>
          <w:b/>
          <w:sz w:val="28"/>
          <w:szCs w:val="28"/>
          <w:lang w:val="uk-UA"/>
        </w:rPr>
        <w:t>наказу Міністерс</w:t>
      </w:r>
      <w:r w:rsidR="004F7D30" w:rsidRPr="000B2E32">
        <w:rPr>
          <w:rFonts w:ascii="Times New Roman" w:hAnsi="Times New Roman" w:cs="Times New Roman"/>
          <w:b/>
          <w:sz w:val="28"/>
          <w:szCs w:val="28"/>
          <w:lang w:val="uk-UA"/>
        </w:rPr>
        <w:t>тва освіти і науки України «Про </w:t>
      </w:r>
      <w:r w:rsidR="003E21F7"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 w:rsidR="0019755E">
        <w:rPr>
          <w:rFonts w:ascii="Times New Roman" w:hAnsi="Times New Roman" w:cs="Times New Roman"/>
          <w:b/>
          <w:sz w:val="28"/>
          <w:szCs w:val="28"/>
          <w:lang w:val="uk-UA"/>
        </w:rPr>
        <w:t>Порядку</w:t>
      </w:r>
      <w:r w:rsidR="003E21F7"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75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інституційного аудиту закладів </w:t>
      </w:r>
      <w:r w:rsidR="003E21F7" w:rsidRPr="000B2E32">
        <w:rPr>
          <w:rFonts w:ascii="Times New Roman" w:hAnsi="Times New Roman" w:cs="Times New Roman"/>
          <w:b/>
          <w:sz w:val="28"/>
          <w:szCs w:val="28"/>
          <w:lang w:val="uk-UA"/>
        </w:rPr>
        <w:t>фахової передвищої освіти»</w:t>
      </w:r>
    </w:p>
    <w:p w:rsidR="003E21F7" w:rsidRPr="000B2E32" w:rsidRDefault="003E21F7" w:rsidP="004409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8A5" w:rsidRPr="000B2E32" w:rsidRDefault="00873F64" w:rsidP="004409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77FE3" w:rsidRPr="000B2E3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:rsidR="00D538A5" w:rsidRPr="000B2E32" w:rsidRDefault="00D538A5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8E3" w:rsidRPr="00B648E3" w:rsidRDefault="00D77FE3" w:rsidP="00B648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Проєкт наказу Міністерства освіти і науки України «Про затвердження </w:t>
      </w:r>
      <w:r w:rsidR="0019755E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інституційного аудиту закладів 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фахової передвищої освіти» </w:t>
      </w:r>
      <w:r w:rsidR="00BB16D8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 w:rsidR="00BB16D8" w:rsidRPr="000B2E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наказу) розроблено Державною службою якості освіти України (далі –</w:t>
      </w:r>
      <w:r w:rsidR="00992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Служба) з метою </w:t>
      </w:r>
      <w:bookmarkStart w:id="0" w:name="_Toc20719613"/>
      <w:r w:rsidR="006A110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визначених у </w:t>
      </w:r>
      <w:hyperlink r:id="rId5" w:anchor="n305" w:tgtFrame="_blank" w:history="1">
        <w:r w:rsidR="006A1106" w:rsidRPr="000B2E32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пункт</w:t>
        </w:r>
        <w:r w:rsidR="006A1106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і</w:t>
        </w:r>
        <w:r w:rsidR="006A1106" w:rsidRPr="000B2E32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 </w:t>
        </w:r>
        <w:r w:rsidR="0019755E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1</w:t>
        </w:r>
      </w:hyperlink>
      <w:r w:rsidR="006A1106"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частини першої статті 15</w:t>
      </w:r>
      <w:r w:rsidR="006A11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1106" w:rsidRPr="000B2E32">
        <w:rPr>
          <w:rFonts w:ascii="Times New Roman" w:hAnsi="Times New Roman" w:cs="Times New Roman"/>
          <w:sz w:val="28"/>
          <w:szCs w:val="28"/>
          <w:lang w:val="uk-UA"/>
        </w:rPr>
        <w:t>Закону України «Про фахову передвищу освіту» (далі – Закон)</w:t>
      </w:r>
      <w:r w:rsidR="006A1106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Служби щодо </w:t>
      </w:r>
      <w:r w:rsidR="006A1106" w:rsidRPr="006A1106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6A1106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="006A1106" w:rsidRPr="006A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>інституційного аудиту закладів</w:t>
      </w:r>
      <w:r w:rsidR="006A1106" w:rsidRPr="006A1106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</w:t>
      </w:r>
      <w:r w:rsidR="006A11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F64" w:rsidRPr="000B2E32" w:rsidRDefault="00873F64" w:rsidP="00873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977"/>
      <w:bookmarkStart w:id="2" w:name="n1978"/>
      <w:bookmarkEnd w:id="0"/>
      <w:bookmarkEnd w:id="1"/>
      <w:bookmarkEnd w:id="2"/>
    </w:p>
    <w:p w:rsidR="00C05650" w:rsidRPr="000B2E32" w:rsidRDefault="00873F64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D77FE3"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необхідності прийняття акта  </w:t>
      </w:r>
    </w:p>
    <w:p w:rsidR="00C5547E" w:rsidRPr="000B2E32" w:rsidRDefault="00C5547E" w:rsidP="00873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9DC" w:rsidRPr="000B2E32" w:rsidRDefault="00082DFC" w:rsidP="00CC4A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пунктом 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15 Закону</w:t>
      </w:r>
      <w:r w:rsidR="00B9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щодо проведення 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>інституційного аудиту закладів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передвищої освіти пок</w:t>
      </w:r>
      <w:r w:rsidR="00682041" w:rsidRPr="000B2E32">
        <w:rPr>
          <w:rFonts w:ascii="Times New Roman" w:hAnsi="Times New Roman" w:cs="Times New Roman"/>
          <w:sz w:val="28"/>
          <w:szCs w:val="28"/>
          <w:lang w:val="uk-UA"/>
        </w:rPr>
        <w:t>ладено на Службу. Водночас, відповідно до пункту 14 частини першої статті 13 Закону</w:t>
      </w:r>
      <w:r w:rsidR="003244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9D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Службою 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 xml:space="preserve">інституційного </w:t>
      </w:r>
      <w:r w:rsidR="00EA15C0">
        <w:rPr>
          <w:rFonts w:ascii="Times New Roman" w:hAnsi="Times New Roman" w:cs="Times New Roman"/>
          <w:sz w:val="28"/>
          <w:szCs w:val="28"/>
          <w:lang w:val="uk-UA"/>
        </w:rPr>
        <w:t>аудиту закладів фахової передви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 xml:space="preserve">щої освіти </w:t>
      </w:r>
      <w:r w:rsidR="009549D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можливе лише з підстав, у межах повноважень та у спосіб, що визначені 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>порядком проведення інституційного аудиту закладів фахової передвищої освіти</w:t>
      </w:r>
      <w:r w:rsidR="009549D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, яке </w:t>
      </w:r>
      <w:r w:rsidR="00B95B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49D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свою чергу затверджується Міністерством освіти і науки України. Однак</w:t>
      </w:r>
      <w:r w:rsidR="00B95B3F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</w:t>
      </w:r>
      <w:r w:rsidR="009549D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такий нормативно-правовий акт відсутній, у зв’язку з чим Служба не може реалізувати надані їй повноваження та використати такий інструмент зовнішнього забезпечення якості фахової передвищої освіти, як 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>інституційний аудит</w:t>
      </w:r>
      <w:r w:rsidR="009549DC" w:rsidRPr="000B2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DFC" w:rsidRPr="000B2E32" w:rsidRDefault="009549DC" w:rsidP="00CC4A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Прийняття проєкту акта дозволить н</w:t>
      </w:r>
      <w:r w:rsidR="00082DFC" w:rsidRPr="000B2E32">
        <w:rPr>
          <w:rFonts w:ascii="Times New Roman" w:hAnsi="Times New Roman" w:cs="Times New Roman"/>
          <w:sz w:val="28"/>
          <w:szCs w:val="28"/>
          <w:lang w:val="uk-UA"/>
        </w:rPr>
        <w:t>а законодавчому рівні закріпити процедуру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82DF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механізм 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B648E3">
        <w:rPr>
          <w:rFonts w:ascii="Times New Roman" w:hAnsi="Times New Roman" w:cs="Times New Roman"/>
          <w:sz w:val="28"/>
          <w:szCs w:val="28"/>
          <w:lang w:val="uk-UA"/>
        </w:rPr>
        <w:t>інституційного аудиту закладів фахової передвищої освіти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82DFC" w:rsidRPr="000B2E32">
        <w:rPr>
          <w:rFonts w:ascii="Times New Roman" w:hAnsi="Times New Roman" w:cs="Times New Roman"/>
          <w:sz w:val="28"/>
          <w:szCs w:val="28"/>
          <w:lang w:val="uk-UA"/>
        </w:rPr>
        <w:t>а дозволить Службі реалізувати покладені на неї законодавством функції у чітко визначений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</w:t>
      </w:r>
      <w:r w:rsidR="00082DF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порядок та спосіб.</w:t>
      </w:r>
    </w:p>
    <w:p w:rsidR="00C109CF" w:rsidRPr="000B2E32" w:rsidRDefault="00C109CF" w:rsidP="00CC4A1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547E" w:rsidRPr="000B2E32" w:rsidRDefault="00873F64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n1979"/>
      <w:bookmarkStart w:id="4" w:name="n1980"/>
      <w:bookmarkEnd w:id="3"/>
      <w:bookmarkEnd w:id="4"/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2507D2" w:rsidRPr="000B2E32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</w:t>
      </w:r>
      <w:r w:rsidR="006A6295"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</w:t>
      </w:r>
      <w:r w:rsidR="003040C2" w:rsidRPr="000B2E32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A6295" w:rsidRPr="000B2E32">
        <w:rPr>
          <w:rFonts w:ascii="Times New Roman" w:hAnsi="Times New Roman" w:cs="Times New Roman"/>
          <w:b/>
          <w:sz w:val="28"/>
          <w:szCs w:val="28"/>
          <w:lang w:val="uk-UA"/>
        </w:rPr>
        <w:t>кту акта</w:t>
      </w:r>
    </w:p>
    <w:p w:rsidR="00F45471" w:rsidRPr="000B2E32" w:rsidRDefault="002507D2" w:rsidP="00873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A1C" w:rsidRPr="000B2E32" w:rsidRDefault="00C5547E" w:rsidP="006C31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040C2" w:rsidRPr="000B2E3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3040C2" w:rsidRPr="000B2E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кта </w:t>
      </w:r>
      <w:r w:rsidR="00E12171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визначає основні засади та порядок проведення </w:t>
      </w:r>
      <w:r w:rsidR="006C311A">
        <w:rPr>
          <w:rFonts w:ascii="Times New Roman" w:hAnsi="Times New Roman" w:cs="Times New Roman"/>
          <w:sz w:val="28"/>
          <w:szCs w:val="28"/>
          <w:lang w:val="uk-UA"/>
        </w:rPr>
        <w:t>інституційного аудиту закладів фахової передвищої освіти</w:t>
      </w:r>
      <w:r w:rsidR="00E12171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4A1C"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експертів, </w:t>
      </w:r>
      <w:r w:rsidR="006C311A">
        <w:rPr>
          <w:rFonts w:ascii="Times New Roman" w:hAnsi="Times New Roman" w:cs="Times New Roman"/>
          <w:sz w:val="28"/>
          <w:szCs w:val="28"/>
          <w:lang w:val="uk-UA"/>
        </w:rPr>
        <w:t>що її проводять</w:t>
      </w:r>
      <w:r w:rsidR="006C311A" w:rsidRPr="00944C6B">
        <w:rPr>
          <w:rFonts w:ascii="Times New Roman" w:hAnsi="Times New Roman" w:cs="Times New Roman"/>
          <w:sz w:val="28"/>
          <w:szCs w:val="28"/>
          <w:lang w:val="uk-UA"/>
        </w:rPr>
        <w:t xml:space="preserve">, права та обов’язки учасників інституційного аудиту, категорії, до яких відносяться заклади фахової </w:t>
      </w:r>
      <w:r w:rsidR="00363156" w:rsidRPr="00944C6B">
        <w:rPr>
          <w:rFonts w:ascii="Times New Roman" w:hAnsi="Times New Roman" w:cs="Times New Roman"/>
          <w:sz w:val="28"/>
          <w:szCs w:val="28"/>
          <w:lang w:val="uk-UA"/>
        </w:rPr>
        <w:t>передви</w:t>
      </w:r>
      <w:r w:rsidR="006C311A" w:rsidRPr="00944C6B">
        <w:rPr>
          <w:rFonts w:ascii="Times New Roman" w:hAnsi="Times New Roman" w:cs="Times New Roman"/>
          <w:sz w:val="28"/>
          <w:szCs w:val="28"/>
          <w:lang w:val="uk-UA"/>
        </w:rPr>
        <w:t>щої освіти за результатами інституційного аудиту</w:t>
      </w:r>
      <w:r w:rsidR="00CC4A1C" w:rsidRPr="00944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B3F" w:rsidRDefault="00B95B3F" w:rsidP="00432D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7D2" w:rsidRPr="000B2E32" w:rsidRDefault="002507D2" w:rsidP="00432D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Правові </w:t>
      </w:r>
      <w:r w:rsidR="008C5B88" w:rsidRPr="000B2E32">
        <w:rPr>
          <w:rFonts w:ascii="Times New Roman" w:hAnsi="Times New Roman" w:cs="Times New Roman"/>
          <w:b/>
          <w:sz w:val="28"/>
          <w:szCs w:val="28"/>
          <w:lang w:val="uk-UA"/>
        </w:rPr>
        <w:t>аспекти</w:t>
      </w: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32DD9" w:rsidRPr="000B2E32" w:rsidRDefault="00432DD9" w:rsidP="008343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B88" w:rsidRPr="000B2E32" w:rsidRDefault="008C5B88" w:rsidP="00992FB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sz w:val="28"/>
          <w:szCs w:val="28"/>
          <w:lang w:val="uk-UA"/>
        </w:rPr>
        <w:t>Проєкт наказу розроблено на виконання вимог пункт 14</w:t>
      </w: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частини першої статті 13, </w:t>
      </w:r>
      <w:hyperlink r:id="rId6" w:anchor="n305" w:tgtFrame="_blank" w:history="1">
        <w:r w:rsidRPr="000B2E32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пункт </w:t>
        </w:r>
        <w:r w:rsidR="00363156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1</w:t>
        </w:r>
      </w:hyperlink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частини першої статті 15 та у відповідності до статті </w:t>
      </w:r>
      <w:r w:rsidR="00345A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Закону</w:t>
      </w:r>
      <w:r w:rsidR="004511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</w:t>
      </w:r>
      <w:r w:rsidRPr="000B2E3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нормативного врегулювання процедури </w:t>
      </w:r>
      <w:r w:rsidR="00345A77">
        <w:rPr>
          <w:rFonts w:ascii="Times New Roman" w:hAnsi="Times New Roman" w:cs="Times New Roman"/>
          <w:sz w:val="28"/>
          <w:szCs w:val="28"/>
          <w:lang w:val="uk-UA"/>
        </w:rPr>
        <w:t>інституційного аудиту закладів фахової передвищої освіти</w:t>
      </w:r>
      <w:r w:rsidR="00CF6CAD" w:rsidRPr="000B2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605" w:rsidRPr="000B2E32" w:rsidRDefault="006D0605" w:rsidP="00432D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295" w:rsidRPr="000B2E32" w:rsidRDefault="00A7077C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n1981"/>
      <w:bookmarkEnd w:id="5"/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6" w:name="n1982"/>
      <w:bookmarkEnd w:id="6"/>
      <w:r w:rsidR="00432DD9" w:rsidRPr="000B2E3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A6295"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32DD9"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Фінансово-економічне обґрунтування</w:t>
      </w:r>
    </w:p>
    <w:p w:rsidR="001A3119" w:rsidRPr="000B2E32" w:rsidRDefault="001A3119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985" w:rsidRPr="000B2E32" w:rsidRDefault="008A1946" w:rsidP="00992FBA">
      <w:pPr>
        <w:tabs>
          <w:tab w:val="num" w:pos="540"/>
        </w:tabs>
        <w:ind w:right="-6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1983"/>
      <w:bookmarkStart w:id="8" w:name="n1985"/>
      <w:bookmarkEnd w:id="7"/>
      <w:bookmarkEnd w:id="8"/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проєкту акта не потребує додаткового фі</w:t>
      </w:r>
      <w:r w:rsidR="00EB0672" w:rsidRPr="000B2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нансування з державного бюджету</w:t>
      </w:r>
      <w:r w:rsidR="003E7985" w:rsidRPr="000B2E32">
        <w:rPr>
          <w:rFonts w:ascii="Times New Roman" w:hAnsi="Times New Roman"/>
          <w:sz w:val="28"/>
          <w:szCs w:val="28"/>
          <w:lang w:val="uk-UA"/>
        </w:rPr>
        <w:t>.</w:t>
      </w:r>
    </w:p>
    <w:p w:rsidR="00873F64" w:rsidRPr="000B2E32" w:rsidRDefault="00873F64" w:rsidP="00226D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295" w:rsidRPr="000B2E32" w:rsidRDefault="005D32B6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873F64" w:rsidRPr="000B2E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92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295" w:rsidRPr="000B2E32">
        <w:rPr>
          <w:rFonts w:ascii="Times New Roman" w:hAnsi="Times New Roman" w:cs="Times New Roman"/>
          <w:b/>
          <w:sz w:val="28"/>
          <w:szCs w:val="28"/>
          <w:lang w:val="uk-UA"/>
        </w:rPr>
        <w:t>Позиція заінтересованих сторін</w:t>
      </w:r>
    </w:p>
    <w:p w:rsidR="00F45471" w:rsidRPr="000B2E32" w:rsidRDefault="00F45471" w:rsidP="00873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2B6" w:rsidRPr="00992FBA" w:rsidRDefault="005D32B6" w:rsidP="005D32B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FBA">
        <w:rPr>
          <w:rFonts w:ascii="Times New Roman" w:hAnsi="Times New Roman" w:cs="Times New Roman"/>
          <w:sz w:val="28"/>
          <w:szCs w:val="28"/>
          <w:lang w:val="uk-UA"/>
        </w:rPr>
        <w:t>Проєкт наказу не стосується питань функціонування місцевого самоврядування, прав і інтересів територіальних громад, місцевого та регіонального роз</w:t>
      </w:r>
      <w:r w:rsidR="00CF6CAD" w:rsidRPr="00992FBA">
        <w:rPr>
          <w:rFonts w:ascii="Times New Roman" w:hAnsi="Times New Roman" w:cs="Times New Roman"/>
          <w:sz w:val="28"/>
          <w:szCs w:val="28"/>
          <w:lang w:val="uk-UA"/>
        </w:rPr>
        <w:t xml:space="preserve">витку, соціально-трудової сфери, </w:t>
      </w:r>
      <w:r w:rsidRPr="00992FBA">
        <w:rPr>
          <w:rFonts w:ascii="Times New Roman" w:hAnsi="Times New Roman" w:cs="Times New Roman"/>
          <w:sz w:val="28"/>
          <w:szCs w:val="28"/>
          <w:lang w:val="uk-UA"/>
        </w:rPr>
        <w:t>прав осіб з інвалідністю, функціонування і застосування української мови як державної.</w:t>
      </w:r>
    </w:p>
    <w:p w:rsidR="00944C6B" w:rsidRDefault="00944C6B" w:rsidP="00CF6C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CAD" w:rsidRPr="00992FBA" w:rsidRDefault="005D32B6" w:rsidP="00CF6C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FBA">
        <w:rPr>
          <w:rFonts w:ascii="Times New Roman" w:hAnsi="Times New Roman" w:cs="Times New Roman"/>
          <w:sz w:val="28"/>
          <w:szCs w:val="28"/>
          <w:lang w:val="uk-UA"/>
        </w:rPr>
        <w:t>Проєкт наказу не стосується сфери наукової та науково-технічної діяльності.</w:t>
      </w:r>
    </w:p>
    <w:p w:rsidR="00873F64" w:rsidRPr="000B2E32" w:rsidRDefault="003040C2" w:rsidP="00944C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FB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45A77">
        <w:rPr>
          <w:rFonts w:ascii="Times New Roman" w:hAnsi="Times New Roman" w:cs="Times New Roman"/>
          <w:sz w:val="28"/>
          <w:szCs w:val="28"/>
          <w:lang w:val="uk-UA"/>
        </w:rPr>
        <w:t>кт акта виносить</w:t>
      </w:r>
      <w:r w:rsidR="00ED004A" w:rsidRPr="00992FBA">
        <w:rPr>
          <w:rFonts w:ascii="Times New Roman" w:hAnsi="Times New Roman" w:cs="Times New Roman"/>
          <w:sz w:val="28"/>
          <w:szCs w:val="28"/>
          <w:lang w:val="uk-UA"/>
        </w:rPr>
        <w:t xml:space="preserve">ся на громадське обговорення відповідно до вимог </w:t>
      </w:r>
      <w:hyperlink r:id="rId7" w:anchor="n30" w:tgtFrame="_blank" w:history="1">
        <w:r w:rsidR="00ED004A" w:rsidRPr="00992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="00ED004A" w:rsidRPr="00992FBA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</w:t>
      </w:r>
      <w:r w:rsidR="00853136" w:rsidRPr="00992FBA">
        <w:rPr>
          <w:rFonts w:ascii="Times New Roman" w:hAnsi="Times New Roman" w:cs="Times New Roman"/>
          <w:sz w:val="28"/>
          <w:szCs w:val="28"/>
          <w:lang w:val="uk-UA"/>
        </w:rPr>
        <w:t xml:space="preserve"> від 3 листопада 2010 р. № 996 «</w:t>
      </w:r>
      <w:r w:rsidR="00ED004A" w:rsidRPr="00992FBA">
        <w:rPr>
          <w:rFonts w:ascii="Times New Roman" w:hAnsi="Times New Roman" w:cs="Times New Roman"/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 w:rsidR="00853136" w:rsidRPr="00992F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D32B6" w:rsidRPr="00992F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04A" w:rsidRPr="00992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331" w:rsidRPr="000B2E32" w:rsidRDefault="00664331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3119" w:rsidRPr="000B2E32" w:rsidRDefault="001A3119" w:rsidP="00992FB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проєкті акта відсутні положення, які стосуються зобов’язань України у сфері європейської інтеграції.</w:t>
      </w:r>
    </w:p>
    <w:p w:rsidR="001A3119" w:rsidRPr="000B2E32" w:rsidRDefault="001A3119" w:rsidP="00992FB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E32">
        <w:rPr>
          <w:rFonts w:ascii="Times New Roman" w:eastAsia="Calibri" w:hAnsi="Times New Roman" w:cs="Times New Roman"/>
          <w:sz w:val="28"/>
          <w:szCs w:val="28"/>
          <w:lang w:val="uk-UA"/>
        </w:rPr>
        <w:t>Проєкт акта не містить норм, що зачіпають права і свободи, гарантовані Конвенцією про захист прав людини і основоположних свобод.</w:t>
      </w:r>
    </w:p>
    <w:p w:rsidR="001A3119" w:rsidRPr="000B2E32" w:rsidRDefault="001A3119" w:rsidP="00992FB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проєкті акта відсутні положення, які порушують принцип забезпечення рівних прав та можливостей жінок і чоловіків.</w:t>
      </w:r>
    </w:p>
    <w:p w:rsidR="001A3119" w:rsidRPr="000B2E32" w:rsidRDefault="00D65AF6" w:rsidP="00992FB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664331"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оложення </w:t>
      </w:r>
      <w:proofErr w:type="spellStart"/>
      <w:r w:rsidR="00664331"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роєкт</w:t>
      </w:r>
      <w:r w:rsidR="00664331"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акта не ма</w:t>
      </w:r>
      <w:r w:rsidR="00664331"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</w:t>
      </w: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правил і процедур, які можуть містити ризики вчинення корупційних правопорушень та правопорушень, пов’язаних з корупцією.</w:t>
      </w:r>
    </w:p>
    <w:p w:rsidR="001A3119" w:rsidRDefault="001A3119" w:rsidP="00992FB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B2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проєкті акта відсутні положення, які містять ознаки дискримінації. </w:t>
      </w:r>
    </w:p>
    <w:p w:rsidR="002C69EF" w:rsidRDefault="002C69EF" w:rsidP="00992FBA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Проєкт акта потребує погодження </w:t>
      </w:r>
      <w:r w:rsidRPr="00944C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Державною регуляторною службою України, Міністерством цифрової трансформації Укр</w:t>
      </w:r>
      <w:r w:rsidR="00F24F21" w:rsidRPr="00944C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аїни</w:t>
      </w:r>
      <w:r w:rsidR="00944C6B" w:rsidRPr="00944C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F24F21" w:rsidRPr="00944C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44C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32A1A" w:rsidRDefault="00332A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9" w:name="n1986"/>
      <w:bookmarkEnd w:id="9"/>
    </w:p>
    <w:p w:rsidR="00873F64" w:rsidRPr="000B2E32" w:rsidRDefault="00C04375" w:rsidP="00873F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873F64"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6295" w:rsidRPr="000B2E32">
        <w:rPr>
          <w:rFonts w:ascii="Times New Roman" w:hAnsi="Times New Roman" w:cs="Times New Roman"/>
          <w:b/>
          <w:sz w:val="28"/>
          <w:szCs w:val="28"/>
          <w:lang w:val="uk-UA"/>
        </w:rPr>
        <w:t>Прогноз</w:t>
      </w:r>
      <w:r w:rsidRPr="000B2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результатів</w:t>
      </w:r>
    </w:p>
    <w:p w:rsidR="00664331" w:rsidRPr="000B2E32" w:rsidRDefault="00664331" w:rsidP="001E38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C6B" w:rsidRPr="00944C6B" w:rsidRDefault="00873F64" w:rsidP="00944C6B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6B">
        <w:rPr>
          <w:rFonts w:ascii="Times New Roman" w:hAnsi="Times New Roman" w:cs="Times New Roman"/>
          <w:sz w:val="28"/>
          <w:szCs w:val="28"/>
        </w:rPr>
        <w:t>Проєкт</w:t>
      </w:r>
      <w:r w:rsidR="001A3119" w:rsidRPr="00944C6B">
        <w:rPr>
          <w:rFonts w:ascii="Times New Roman" w:hAnsi="Times New Roman" w:cs="Times New Roman"/>
          <w:sz w:val="28"/>
          <w:szCs w:val="28"/>
        </w:rPr>
        <w:t xml:space="preserve"> </w:t>
      </w:r>
      <w:r w:rsidR="00631710" w:rsidRPr="00944C6B">
        <w:rPr>
          <w:rFonts w:ascii="Times New Roman" w:hAnsi="Times New Roman" w:cs="Times New Roman"/>
          <w:sz w:val="28"/>
          <w:szCs w:val="28"/>
        </w:rPr>
        <w:t>акта</w:t>
      </w:r>
      <w:r w:rsidRPr="00944C6B">
        <w:rPr>
          <w:rFonts w:ascii="Times New Roman" w:hAnsi="Times New Roman" w:cs="Times New Roman"/>
          <w:sz w:val="28"/>
          <w:szCs w:val="28"/>
        </w:rPr>
        <w:t xml:space="preserve"> є регуляторним актом</w:t>
      </w:r>
      <w:r w:rsidR="00631710" w:rsidRPr="00944C6B">
        <w:rPr>
          <w:rFonts w:ascii="Times New Roman" w:hAnsi="Times New Roman" w:cs="Times New Roman"/>
          <w:sz w:val="28"/>
          <w:szCs w:val="28"/>
        </w:rPr>
        <w:t>, прийняття якого сприятиме встановленню єдиних підходів</w:t>
      </w:r>
      <w:r w:rsidRPr="00944C6B">
        <w:rPr>
          <w:rFonts w:ascii="Times New Roman" w:hAnsi="Times New Roman" w:cs="Times New Roman"/>
          <w:sz w:val="28"/>
          <w:szCs w:val="28"/>
        </w:rPr>
        <w:t xml:space="preserve"> </w:t>
      </w:r>
      <w:r w:rsidR="001E3864" w:rsidRPr="00944C6B">
        <w:rPr>
          <w:rFonts w:ascii="Times New Roman" w:hAnsi="Times New Roman" w:cs="Times New Roman"/>
          <w:sz w:val="28"/>
          <w:szCs w:val="28"/>
        </w:rPr>
        <w:t xml:space="preserve">до </w:t>
      </w:r>
      <w:r w:rsidR="00345A77" w:rsidRPr="00944C6B">
        <w:rPr>
          <w:rFonts w:ascii="Times New Roman" w:hAnsi="Times New Roman" w:cs="Times New Roman"/>
          <w:sz w:val="28"/>
          <w:szCs w:val="28"/>
        </w:rPr>
        <w:t>проведення інституційного аудиту закладів фахової передвищої освіти</w:t>
      </w:r>
      <w:r w:rsidR="001E3864" w:rsidRPr="00944C6B">
        <w:rPr>
          <w:rFonts w:ascii="Times New Roman" w:hAnsi="Times New Roman" w:cs="Times New Roman"/>
          <w:sz w:val="28"/>
          <w:szCs w:val="28"/>
        </w:rPr>
        <w:t>.</w:t>
      </w:r>
      <w:r w:rsidR="001E3864" w:rsidRPr="0094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C6B" w:rsidRPr="00944C6B" w:rsidRDefault="00944C6B" w:rsidP="00944C6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6B">
        <w:rPr>
          <w:rFonts w:ascii="Times New Roman" w:hAnsi="Times New Roman" w:cs="Times New Roman"/>
          <w:sz w:val="28"/>
          <w:szCs w:val="28"/>
        </w:rPr>
        <w:t>Реалізація проєкту акта  в частині з</w:t>
      </w:r>
      <w:r w:rsidRPr="00944C6B">
        <w:rPr>
          <w:rFonts w:ascii="Times New Roman" w:hAnsi="Times New Roman" w:cs="Times New Roman"/>
          <w:sz w:val="28"/>
          <w:szCs w:val="28"/>
        </w:rPr>
        <w:t xml:space="preserve">абезпечення  своєчасної комплексної оцінки ефективності здійснення освітньої діяльності  у закладах фахової передвищої освіти, що максимально знизить ризик надання неякісних послуг у сфері фахової передвищої   освіти та вплине на </w:t>
      </w:r>
      <w:r w:rsidRPr="00944C6B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продуктивність і конкурентоспроможність закладів фахової передвищої освіти, в тому числі через </w:t>
      </w:r>
      <w:bookmarkStart w:id="10" w:name="n147"/>
      <w:bookmarkEnd w:id="10"/>
      <w:r w:rsidRPr="00944C6B">
        <w:rPr>
          <w:rFonts w:ascii="Times New Roman" w:hAnsi="Times New Roman" w:cs="Times New Roman"/>
          <w:sz w:val="28"/>
          <w:szCs w:val="28"/>
        </w:rPr>
        <w:t>вплив на інновації та розвиток</w:t>
      </w:r>
      <w:r w:rsidRPr="00944C6B">
        <w:rPr>
          <w:rFonts w:ascii="Times New Roman" w:hAnsi="Times New Roman" w:cs="Times New Roman"/>
          <w:sz w:val="28"/>
          <w:szCs w:val="28"/>
        </w:rPr>
        <w:t>.</w:t>
      </w:r>
    </w:p>
    <w:p w:rsidR="00944C6B" w:rsidRPr="00944C6B" w:rsidRDefault="00944C6B" w:rsidP="00944C6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07A36" w:rsidRPr="00944C6B" w:rsidRDefault="00944C6B" w:rsidP="00944C6B">
      <w:pPr>
        <w:pStyle w:val="1"/>
        <w:jc w:val="both"/>
        <w:rPr>
          <w:rFonts w:ascii="Times New Roman" w:eastAsia="Times New Roman" w:hAnsi="Times New Roman"/>
          <w:sz w:val="28"/>
          <w:szCs w:val="28"/>
        </w:rPr>
      </w:pPr>
      <w:r w:rsidRPr="00944C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Буде унормовано процедуру проведення </w:t>
      </w:r>
      <w:r w:rsidRPr="00944C6B">
        <w:rPr>
          <w:rFonts w:ascii="Times New Roman" w:eastAsia="Times New Roman" w:hAnsi="Times New Roman"/>
          <w:sz w:val="28"/>
          <w:szCs w:val="28"/>
        </w:rPr>
        <w:t>позапланового інституційного аудиту закладів фахової передвищої освіти</w:t>
      </w:r>
      <w:r w:rsidR="005D1F8D">
        <w:rPr>
          <w:rFonts w:ascii="Times New Roman" w:eastAsia="Times New Roman" w:hAnsi="Times New Roman"/>
          <w:sz w:val="28"/>
          <w:szCs w:val="28"/>
        </w:rPr>
        <w:t>.</w:t>
      </w:r>
      <w:r w:rsidRPr="00944C6B">
        <w:rPr>
          <w:rFonts w:ascii="Times New Roman" w:eastAsia="Times New Roman" w:hAnsi="Times New Roman"/>
          <w:sz w:val="28"/>
          <w:szCs w:val="28"/>
        </w:rPr>
        <w:t xml:space="preserve"> Вимоги законодавства буде дотримано</w:t>
      </w:r>
      <w:r w:rsidR="005D1F8D">
        <w:rPr>
          <w:rFonts w:ascii="Times New Roman" w:eastAsia="Times New Roman" w:hAnsi="Times New Roman"/>
          <w:sz w:val="28"/>
          <w:szCs w:val="28"/>
        </w:rPr>
        <w:t>.</w:t>
      </w:r>
      <w:bookmarkStart w:id="11" w:name="_GoBack"/>
      <w:bookmarkEnd w:id="11"/>
    </w:p>
    <w:p w:rsidR="00944C6B" w:rsidRPr="00944C6B" w:rsidRDefault="00944C6B" w:rsidP="00944C6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72" w:type="pct"/>
        <w:tblInd w:w="-22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1"/>
        <w:gridCol w:w="3877"/>
        <w:gridCol w:w="4022"/>
      </w:tblGrid>
      <w:tr w:rsidR="00AA3C2D" w:rsidRPr="00B90371" w:rsidTr="00AA3C2D">
        <w:trPr>
          <w:trHeight w:val="322"/>
        </w:trPr>
        <w:tc>
          <w:tcPr>
            <w:tcW w:w="1046" w:type="pct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2D" w:rsidRPr="00B9037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9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2D" w:rsidRPr="00B9037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20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A3C2D" w:rsidRPr="00B9037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AA3C2D" w:rsidRPr="00B90371" w:rsidTr="00AA3C2D">
        <w:trPr>
          <w:trHeight w:val="322"/>
        </w:trPr>
        <w:tc>
          <w:tcPr>
            <w:tcW w:w="1046" w:type="pct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2D" w:rsidRPr="00B9037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2D" w:rsidRPr="00B9037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2D" w:rsidRPr="00B9037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C2D" w:rsidRPr="00944C6B" w:rsidTr="00C421D4">
        <w:trPr>
          <w:trHeight w:val="634"/>
        </w:trPr>
        <w:tc>
          <w:tcPr>
            <w:tcW w:w="1046" w:type="pc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</w:tcPr>
          <w:p w:rsidR="00AA3C2D" w:rsidRPr="000E038F" w:rsidRDefault="00AA3C2D" w:rsidP="003A7C7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C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9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F145B" w:rsidRPr="00E05E91" w:rsidRDefault="00AA3C2D" w:rsidP="007F145B">
            <w:pPr>
              <w:pStyle w:val="aa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E05E91">
              <w:rPr>
                <w:rStyle w:val="rvts0"/>
                <w:sz w:val="28"/>
                <w:szCs w:val="28"/>
                <w:lang w:val="uk-UA"/>
              </w:rPr>
              <w:t xml:space="preserve">Прийняття акта матиме позитивний вплив, оскільки сприятиме </w:t>
            </w:r>
            <w:r w:rsidR="007F145B" w:rsidRPr="00E05E91">
              <w:rPr>
                <w:rStyle w:val="rvts0"/>
                <w:sz w:val="28"/>
                <w:szCs w:val="28"/>
                <w:lang w:val="uk-UA"/>
              </w:rPr>
              <w:t xml:space="preserve">підвищенню якості освітньої діяльності та </w:t>
            </w:r>
            <w:r w:rsidRPr="00E05E91">
              <w:rPr>
                <w:rStyle w:val="rvts0"/>
                <w:sz w:val="28"/>
                <w:szCs w:val="28"/>
                <w:lang w:val="uk-UA"/>
              </w:rPr>
              <w:t xml:space="preserve">вдосконаленню внутрішньої системи забезпечення якості освіти, </w:t>
            </w:r>
            <w:r w:rsidR="007F145B" w:rsidRPr="00E05E91">
              <w:rPr>
                <w:rStyle w:val="rvts0"/>
                <w:sz w:val="28"/>
                <w:szCs w:val="28"/>
                <w:lang w:val="uk-UA"/>
              </w:rPr>
              <w:t>приведення організації</w:t>
            </w:r>
            <w:r w:rsidRPr="00E05E91">
              <w:rPr>
                <w:rStyle w:val="rvts0"/>
                <w:sz w:val="28"/>
                <w:szCs w:val="28"/>
                <w:lang w:val="uk-UA"/>
              </w:rPr>
              <w:t xml:space="preserve"> освітн</w:t>
            </w:r>
            <w:r w:rsidR="007F145B" w:rsidRPr="00E05E91">
              <w:rPr>
                <w:rStyle w:val="rvts0"/>
                <w:sz w:val="28"/>
                <w:szCs w:val="28"/>
                <w:lang w:val="uk-UA"/>
              </w:rPr>
              <w:t>ього та управлінського</w:t>
            </w:r>
            <w:r w:rsidRPr="00E05E91">
              <w:rPr>
                <w:rStyle w:val="rvts0"/>
                <w:sz w:val="28"/>
                <w:szCs w:val="28"/>
                <w:lang w:val="uk-UA"/>
              </w:rPr>
              <w:t xml:space="preserve"> процесів </w:t>
            </w:r>
            <w:r w:rsidR="007F145B" w:rsidRPr="00E05E91">
              <w:rPr>
                <w:rStyle w:val="rvts0"/>
                <w:sz w:val="28"/>
                <w:szCs w:val="28"/>
                <w:lang w:val="uk-UA"/>
              </w:rPr>
              <w:t>у відповідність до вимог законодавства</w:t>
            </w:r>
            <w:r w:rsidRPr="00E05E91">
              <w:rPr>
                <w:rStyle w:val="rvts0"/>
                <w:sz w:val="28"/>
                <w:szCs w:val="28"/>
                <w:lang w:val="uk-UA"/>
              </w:rPr>
              <w:t>, підвищення якості освітніх послуг, що надаються закладами фахової передвищої освіти, підвищення їхньої конкурентоздатності.</w:t>
            </w:r>
          </w:p>
          <w:p w:rsidR="00C421D4" w:rsidRPr="00E05E91" w:rsidRDefault="00C421D4" w:rsidP="00C421D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A3C2D" w:rsidRPr="00E05E91" w:rsidRDefault="00AA3C2D" w:rsidP="003A7C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Прийняття акта сприятиме вирішенню проблеми щодо </w:t>
            </w:r>
          </w:p>
          <w:p w:rsidR="00AA3C2D" w:rsidRPr="00E05E9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uk-UA" w:eastAsia="zh-CN" w:bidi="hi-IN"/>
              </w:rPr>
              <w:t>відсутності врегульован</w:t>
            </w:r>
            <w:r w:rsidR="002D04B1" w:rsidRPr="00E05E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uk-UA" w:eastAsia="zh-CN" w:bidi="hi-IN"/>
              </w:rPr>
              <w:t>ого</w:t>
            </w:r>
            <w:r w:rsidRPr="00E05E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uk-UA" w:eastAsia="zh-CN" w:bidi="hi-IN"/>
              </w:rPr>
              <w:t xml:space="preserve"> державою </w:t>
            </w:r>
            <w:r w:rsidR="002D04B1" w:rsidRPr="00E05E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uk-UA" w:eastAsia="zh-CN" w:bidi="hi-IN"/>
              </w:rPr>
              <w:t>механізму проведення інституційного аудиту за</w:t>
            </w:r>
            <w:r w:rsidR="00E05E91" w:rsidRPr="00E05E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uk-UA" w:eastAsia="zh-CN" w:bidi="hi-IN"/>
              </w:rPr>
              <w:t xml:space="preserve">кладів фахової </w:t>
            </w:r>
            <w:proofErr w:type="spellStart"/>
            <w:r w:rsidR="00E05E91" w:rsidRPr="00E05E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uk-UA" w:eastAsia="zh-CN" w:bidi="hi-IN"/>
              </w:rPr>
              <w:t>предвищої</w:t>
            </w:r>
            <w:proofErr w:type="spellEnd"/>
            <w:r w:rsidR="00E05E91" w:rsidRPr="00E05E9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uk-UA" w:eastAsia="zh-CN" w:bidi="hi-IN"/>
              </w:rPr>
              <w:t xml:space="preserve"> освіти. </w:t>
            </w:r>
          </w:p>
          <w:p w:rsidR="002D04B1" w:rsidRPr="00E05E91" w:rsidRDefault="00E05E91" w:rsidP="002D04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ході реалізації акта з</w:t>
            </w:r>
            <w:r w:rsidR="00EA15C0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аклади фахової передвищої освіти отримають</w:t>
            </w:r>
            <w:r w:rsidR="002D04B1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рекомендації щодо   вдосконалення діяльності закладу – можливих шляхів уникнення проблемних питань, 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освіти.</w:t>
            </w:r>
          </w:p>
          <w:p w:rsidR="00AA3C2D" w:rsidRPr="00E05E91" w:rsidRDefault="00504FA0" w:rsidP="00EA1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A15C0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результатами інституційного аудиту можуть бути внесені пропозиції органам управління закладу фахової передвищої освіти щодо реорганізації або кадрових змін</w:t>
            </w:r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3C2D" w:rsidRPr="00944C6B" w:rsidTr="00AA3C2D">
        <w:tc>
          <w:tcPr>
            <w:tcW w:w="104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A3C2D" w:rsidRPr="00B9037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 освіти</w:t>
            </w:r>
          </w:p>
        </w:tc>
        <w:tc>
          <w:tcPr>
            <w:tcW w:w="1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91" w:rsidRPr="00E05E91" w:rsidRDefault="00AA3C2D" w:rsidP="003A7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акта матиме позитивний вплив, оскільки дозволить здобувачам освіти отримувати освітні послуги у сфері фахової передвищої освіти належної якості, а отже, бути конкурентоспром</w:t>
            </w:r>
            <w:r w:rsidR="00E05E91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ожними фахівцями на ринку праці; дозволить поглибити участь </w:t>
            </w:r>
            <w:r w:rsidR="00E05E91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здобувачів освіти в формуванні освітньої траєкторії, поглибить </w:t>
            </w:r>
            <w:proofErr w:type="spellStart"/>
            <w:r w:rsidR="00E05E91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студентоорієнтований</w:t>
            </w:r>
            <w:proofErr w:type="spellEnd"/>
            <w:r w:rsidR="00E05E91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до організації освітнього процесу.</w:t>
            </w:r>
          </w:p>
          <w:p w:rsidR="00AA3C2D" w:rsidRPr="00E05E91" w:rsidRDefault="00AA3C2D" w:rsidP="007F1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91" w:rsidRPr="00E05E91" w:rsidRDefault="009B4B89" w:rsidP="00C80B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Проєктом</w:t>
            </w:r>
            <w:proofErr w:type="spellEnd"/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акта передбачено три категорії 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якими</w:t>
            </w:r>
            <w:r w:rsidR="00470C54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розподіляються</w:t>
            </w:r>
            <w:r w:rsidR="00504FA0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заклади фахової 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</w:t>
            </w:r>
            <w:r w:rsidR="00504FA0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щої освіти 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інституційного аудиту</w:t>
            </w:r>
            <w:r w:rsidR="00C80B5C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дає</w:t>
            </w:r>
            <w:r w:rsidR="00AA3C2D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визначити рівень відповідності 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освітніх і управлінських процесів закладу фахової 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передвищої освіти</w:t>
            </w:r>
            <w:r w:rsidR="00427199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сучасним вимогам та очікуванням</w:t>
            </w:r>
            <w:r w:rsidR="00AA3C2D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заінт</w:t>
            </w:r>
            <w:r w:rsidR="00A96212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ересовани</w:t>
            </w:r>
            <w:r w:rsidR="00C80B5C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сторін</w:t>
            </w:r>
            <w:r w:rsidR="00AA3C2D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7199" w:rsidRPr="00E05E91" w:rsidRDefault="00E05E91" w:rsidP="00E05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Надасть</w:t>
            </w:r>
            <w:proofErr w:type="spellEnd"/>
            <w:r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додаткову достовірну інформацію про рівень закладу освіти і дозволить більш зважено вибирати заклад освіти для навчання.</w:t>
            </w:r>
            <w:r w:rsidR="00427199" w:rsidRPr="00E05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24F21" w:rsidRPr="000B2E32" w:rsidRDefault="00F24F21" w:rsidP="00E94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A36" w:rsidRDefault="00207A36" w:rsidP="00E94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C2D" w:rsidRPr="000B2E32" w:rsidRDefault="00AA3C2D" w:rsidP="00E94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A36" w:rsidRPr="000B2E32" w:rsidRDefault="00207A36" w:rsidP="00207A36">
      <w:pP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0B2E3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Міністр освіти і науки України                                         Сергій ШКАРЛЕТ</w:t>
      </w:r>
    </w:p>
    <w:p w:rsidR="00207A36" w:rsidRPr="000B2E32" w:rsidRDefault="00207A36" w:rsidP="00207A36">
      <w:pPr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207A36" w:rsidRPr="000B2E32" w:rsidRDefault="00207A36" w:rsidP="00207A36">
      <w:pPr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0B2E3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___  ____________ 2021 р.</w:t>
      </w:r>
    </w:p>
    <w:p w:rsidR="00207A36" w:rsidRPr="000B2E32" w:rsidRDefault="00207A36" w:rsidP="00E94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996" w:rsidRPr="000B2E32" w:rsidRDefault="00960996" w:rsidP="00E943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DF4" w:rsidRPr="00B90371" w:rsidRDefault="00E56DF4" w:rsidP="00F24F2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n954"/>
      <w:bookmarkEnd w:id="12"/>
    </w:p>
    <w:sectPr w:rsidR="00E56DF4" w:rsidRPr="00B90371" w:rsidSect="00B95B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E6B"/>
    <w:multiLevelType w:val="hybridMultilevel"/>
    <w:tmpl w:val="AAD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755A"/>
    <w:multiLevelType w:val="hybridMultilevel"/>
    <w:tmpl w:val="7B18BE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1DD7742"/>
    <w:multiLevelType w:val="hybridMultilevel"/>
    <w:tmpl w:val="E20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26F5"/>
    <w:multiLevelType w:val="hybridMultilevel"/>
    <w:tmpl w:val="D7E6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583C"/>
    <w:multiLevelType w:val="hybridMultilevel"/>
    <w:tmpl w:val="A1B64812"/>
    <w:lvl w:ilvl="0" w:tplc="31FE44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125C9"/>
    <w:multiLevelType w:val="hybridMultilevel"/>
    <w:tmpl w:val="31C4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DBD"/>
    <w:rsid w:val="00020DBD"/>
    <w:rsid w:val="00034FA0"/>
    <w:rsid w:val="0006648D"/>
    <w:rsid w:val="00070BFC"/>
    <w:rsid w:val="00082DFC"/>
    <w:rsid w:val="000B2E32"/>
    <w:rsid w:val="000B6954"/>
    <w:rsid w:val="000E038F"/>
    <w:rsid w:val="000F3302"/>
    <w:rsid w:val="001404E5"/>
    <w:rsid w:val="00147893"/>
    <w:rsid w:val="00184687"/>
    <w:rsid w:val="0019755E"/>
    <w:rsid w:val="001A3119"/>
    <w:rsid w:val="001E3864"/>
    <w:rsid w:val="00207A36"/>
    <w:rsid w:val="00226DFF"/>
    <w:rsid w:val="00226FFF"/>
    <w:rsid w:val="00231A5F"/>
    <w:rsid w:val="00244FD6"/>
    <w:rsid w:val="002503C0"/>
    <w:rsid w:val="002507D2"/>
    <w:rsid w:val="00267708"/>
    <w:rsid w:val="002B22F7"/>
    <w:rsid w:val="002C69EF"/>
    <w:rsid w:val="002D04B1"/>
    <w:rsid w:val="003040C2"/>
    <w:rsid w:val="00306F0F"/>
    <w:rsid w:val="00324425"/>
    <w:rsid w:val="003308A5"/>
    <w:rsid w:val="00332A1A"/>
    <w:rsid w:val="00345A77"/>
    <w:rsid w:val="00356B7E"/>
    <w:rsid w:val="00363156"/>
    <w:rsid w:val="0037258B"/>
    <w:rsid w:val="00385086"/>
    <w:rsid w:val="003B3FC6"/>
    <w:rsid w:val="003D1303"/>
    <w:rsid w:val="003D54CC"/>
    <w:rsid w:val="003E21F7"/>
    <w:rsid w:val="003E7985"/>
    <w:rsid w:val="00427199"/>
    <w:rsid w:val="00432DD9"/>
    <w:rsid w:val="0043655B"/>
    <w:rsid w:val="00440913"/>
    <w:rsid w:val="004511E3"/>
    <w:rsid w:val="00470C54"/>
    <w:rsid w:val="004A750E"/>
    <w:rsid w:val="004B46CE"/>
    <w:rsid w:val="004C0263"/>
    <w:rsid w:val="004C70B0"/>
    <w:rsid w:val="004E0B58"/>
    <w:rsid w:val="004E514A"/>
    <w:rsid w:val="004F7D30"/>
    <w:rsid w:val="00504FA0"/>
    <w:rsid w:val="00567F1C"/>
    <w:rsid w:val="005A1A7D"/>
    <w:rsid w:val="005A39B1"/>
    <w:rsid w:val="005C0D7A"/>
    <w:rsid w:val="005D1F8D"/>
    <w:rsid w:val="005D32B6"/>
    <w:rsid w:val="005E3BB2"/>
    <w:rsid w:val="00610A04"/>
    <w:rsid w:val="00610FC9"/>
    <w:rsid w:val="00614DE7"/>
    <w:rsid w:val="0062051A"/>
    <w:rsid w:val="00631710"/>
    <w:rsid w:val="00644032"/>
    <w:rsid w:val="00661C1E"/>
    <w:rsid w:val="00664331"/>
    <w:rsid w:val="00682041"/>
    <w:rsid w:val="00694AE8"/>
    <w:rsid w:val="006A1106"/>
    <w:rsid w:val="006A6295"/>
    <w:rsid w:val="006C311A"/>
    <w:rsid w:val="006D0605"/>
    <w:rsid w:val="00704CDE"/>
    <w:rsid w:val="00716531"/>
    <w:rsid w:val="007227BE"/>
    <w:rsid w:val="007303B9"/>
    <w:rsid w:val="00744472"/>
    <w:rsid w:val="007756F5"/>
    <w:rsid w:val="007A0294"/>
    <w:rsid w:val="007B5F10"/>
    <w:rsid w:val="007C6ADD"/>
    <w:rsid w:val="007D44F2"/>
    <w:rsid w:val="007E03C2"/>
    <w:rsid w:val="007F145B"/>
    <w:rsid w:val="007F3912"/>
    <w:rsid w:val="0080780C"/>
    <w:rsid w:val="00816D32"/>
    <w:rsid w:val="00831B0C"/>
    <w:rsid w:val="0083437B"/>
    <w:rsid w:val="00853136"/>
    <w:rsid w:val="00863174"/>
    <w:rsid w:val="00873F64"/>
    <w:rsid w:val="0088642A"/>
    <w:rsid w:val="00896BFA"/>
    <w:rsid w:val="008A1946"/>
    <w:rsid w:val="008B3281"/>
    <w:rsid w:val="008C5B88"/>
    <w:rsid w:val="00944C6B"/>
    <w:rsid w:val="009549DC"/>
    <w:rsid w:val="00960996"/>
    <w:rsid w:val="009626D6"/>
    <w:rsid w:val="00980083"/>
    <w:rsid w:val="00992FBA"/>
    <w:rsid w:val="009B4B89"/>
    <w:rsid w:val="009D3CC5"/>
    <w:rsid w:val="009E46BA"/>
    <w:rsid w:val="00A257CF"/>
    <w:rsid w:val="00A272CD"/>
    <w:rsid w:val="00A36568"/>
    <w:rsid w:val="00A5640E"/>
    <w:rsid w:val="00A7077C"/>
    <w:rsid w:val="00A96212"/>
    <w:rsid w:val="00A975C2"/>
    <w:rsid w:val="00AA3C2D"/>
    <w:rsid w:val="00AD7749"/>
    <w:rsid w:val="00B151D5"/>
    <w:rsid w:val="00B404F4"/>
    <w:rsid w:val="00B521FB"/>
    <w:rsid w:val="00B62DAD"/>
    <w:rsid w:val="00B648E3"/>
    <w:rsid w:val="00B85811"/>
    <w:rsid w:val="00B90371"/>
    <w:rsid w:val="00B95B3F"/>
    <w:rsid w:val="00BA5E26"/>
    <w:rsid w:val="00BB16D8"/>
    <w:rsid w:val="00BB63FB"/>
    <w:rsid w:val="00BC4EEF"/>
    <w:rsid w:val="00C04375"/>
    <w:rsid w:val="00C05650"/>
    <w:rsid w:val="00C109CF"/>
    <w:rsid w:val="00C421D4"/>
    <w:rsid w:val="00C4675B"/>
    <w:rsid w:val="00C53045"/>
    <w:rsid w:val="00C5547E"/>
    <w:rsid w:val="00C80B5C"/>
    <w:rsid w:val="00C9126D"/>
    <w:rsid w:val="00CC4A1C"/>
    <w:rsid w:val="00CF5A22"/>
    <w:rsid w:val="00CF6CAD"/>
    <w:rsid w:val="00D11179"/>
    <w:rsid w:val="00D204C4"/>
    <w:rsid w:val="00D4494B"/>
    <w:rsid w:val="00D538A5"/>
    <w:rsid w:val="00D65AF6"/>
    <w:rsid w:val="00D77FE3"/>
    <w:rsid w:val="00D93EAD"/>
    <w:rsid w:val="00DA0D71"/>
    <w:rsid w:val="00E05E91"/>
    <w:rsid w:val="00E12171"/>
    <w:rsid w:val="00E54133"/>
    <w:rsid w:val="00E56DF4"/>
    <w:rsid w:val="00E7419C"/>
    <w:rsid w:val="00E7558E"/>
    <w:rsid w:val="00E94367"/>
    <w:rsid w:val="00EA15C0"/>
    <w:rsid w:val="00EB0672"/>
    <w:rsid w:val="00ED004A"/>
    <w:rsid w:val="00F24F21"/>
    <w:rsid w:val="00F45471"/>
    <w:rsid w:val="00F91B36"/>
    <w:rsid w:val="00F948BA"/>
    <w:rsid w:val="00FC201B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BD5"/>
  <w15:docId w15:val="{2177EAAF-2523-4156-BC56-A9A63DAC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A5"/>
    <w:pPr>
      <w:keepNext/>
      <w:keepLines/>
      <w:shd w:val="clear" w:color="auto" w:fill="FFFFFF"/>
      <w:spacing w:before="240" w:after="120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8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538A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uk-UA"/>
    </w:rPr>
  </w:style>
  <w:style w:type="character" w:customStyle="1" w:styleId="rvts9">
    <w:name w:val="rvts9"/>
    <w:basedOn w:val="a0"/>
    <w:rsid w:val="00D538A5"/>
  </w:style>
  <w:style w:type="character" w:styleId="a4">
    <w:name w:val="Hyperlink"/>
    <w:basedOn w:val="a0"/>
    <w:uiPriority w:val="99"/>
    <w:unhideWhenUsed/>
    <w:rsid w:val="00873F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F3912"/>
    <w:rPr>
      <w:b/>
      <w:bCs/>
    </w:rPr>
  </w:style>
  <w:style w:type="character" w:customStyle="1" w:styleId="rvts0">
    <w:name w:val="rvts0"/>
    <w:basedOn w:val="a0"/>
    <w:rsid w:val="007756F5"/>
  </w:style>
  <w:style w:type="table" w:styleId="a6">
    <w:name w:val="Table Grid"/>
    <w:basedOn w:val="a1"/>
    <w:uiPriority w:val="59"/>
    <w:rsid w:val="0088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81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8581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61C1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rsid w:val="00B15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F7D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7D30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4F7D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7D3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4F7D30"/>
    <w:rPr>
      <w:b/>
      <w:bCs/>
      <w:sz w:val="20"/>
      <w:szCs w:val="20"/>
    </w:rPr>
  </w:style>
  <w:style w:type="paragraph" w:customStyle="1" w:styleId="1">
    <w:name w:val="Без інтервалів1"/>
    <w:rsid w:val="00944C6B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6-201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56-18" TargetMode="External"/><Relationship Id="rId5" Type="http://schemas.openxmlformats.org/officeDocument/2006/relationships/hyperlink" Target="https://zakon.rada.gov.ua/laws/show/1556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4473</Words>
  <Characters>2551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Vitraniyuk</cp:lastModifiedBy>
  <cp:revision>18</cp:revision>
  <cp:lastPrinted>2021-05-05T09:48:00Z</cp:lastPrinted>
  <dcterms:created xsi:type="dcterms:W3CDTF">2021-04-21T15:04:00Z</dcterms:created>
  <dcterms:modified xsi:type="dcterms:W3CDTF">2021-12-23T08:55:00Z</dcterms:modified>
</cp:coreProperties>
</file>