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3E" w:rsidRDefault="00450C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Додаток</w:t>
      </w:r>
    </w:p>
    <w:tbl>
      <w:tblPr>
        <w:tblW w:w="1911" w:type="pct"/>
        <w:tblInd w:w="5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</w:tblGrid>
      <w:tr w:rsidR="0057273E">
        <w:tc>
          <w:tcPr>
            <w:tcW w:w="5000" w:type="pct"/>
          </w:tcPr>
          <w:p w:rsidR="0057273E" w:rsidRDefault="00450CD8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наказом управління Державної  служби якості освіти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Хмельницькій  області                                                     від 12.10.2021 №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</w:t>
            </w:r>
          </w:p>
        </w:tc>
      </w:tr>
    </w:tbl>
    <w:p w:rsidR="0057273E" w:rsidRDefault="00450C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19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проведення конкурсу</w:t>
      </w:r>
    </w:p>
    <w:p w:rsidR="0057273E" w:rsidRDefault="00450C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зайняття посади державної служби категорії «В» - головного спеціаліста </w:t>
      </w:r>
      <w:r>
        <w:rPr>
          <w:rFonts w:ascii="Times New Roman" w:hAnsi="Times New Roman"/>
          <w:b/>
          <w:sz w:val="28"/>
          <w:szCs w:val="28"/>
        </w:rPr>
        <w:t>відділу позапланового контролю закладів освіти та взаємодії з органами місцевого самоврядування</w:t>
      </w: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"/>
        <w:gridCol w:w="2820"/>
        <w:gridCol w:w="6398"/>
      </w:tblGrid>
      <w:tr w:rsidR="0057273E">
        <w:trPr>
          <w:trHeight w:val="252"/>
        </w:trPr>
        <w:tc>
          <w:tcPr>
            <w:tcW w:w="96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57273E">
        <w:trPr>
          <w:trHeight w:val="462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Здійснює у межах повноважень, передбачених законом,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державний нагляд (контроль) за діяльністю закладів освіти (крім вищої) щодо дотримання ними вимог законодавства про освіту та видає обов’язкові до виконання ними розпорядження щодо усунення виявлених порушень у визначені строки.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Здійснює контроль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веденням обліку дітей дошкільного, шкільного віку та учнів.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 участь у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проведенні інституційних аудитів закладів освіти,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заходах державного нагляду (контролю) у закладах освіти, сертифікації педагогічних працівників.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Вивчає роботу органів місцевого 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оврядування з реалізації ними освітньої політики в частині забезпечення якості освіти на відповідній території згідно із законодавством про освіту.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Здійснює збір, обробку, аналіз освітньої інформації у сферах дошкільної, загальної середньої, позашкільної,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професійної (професійно-технічної) освіти. 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Виконує завдання щодо здійснення моніторингу якості освіти і освітньої діяльності у сферах дошкільної, загальної середньої, позашкільної, професійної (професійно-технічної) освіти.  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Розробляє проєкти розпорядчих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документів, аналітичних, довідкових та інших матеріалів з питань освіти.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Взаємодіє у межах повноважень з місцевими державними адміністраціями, органами місцевого самоврядування, об’єднаннями громадян, а також підприємствами, установами, організаціями Хме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льницької області.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порядку визначеному МОН, аналізує діяльність місцевих органів виконавчої влади, органів місцевого самоврядування, їх структурних підрозділів з питань освіти в частині, що стосується дотримання вимог законодавства з питань освіти і забе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зпечення якості освіти на відповідній території, надає їм відповідні висновки і рекомендації.</w:t>
            </w:r>
          </w:p>
          <w:p w:rsidR="0057273E" w:rsidRDefault="00450CD8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Дотримується вимог трудової та виконавської дисципліни, вимог охорони праці на робочому місці та пожежної безпеки,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дбає про особисту безпеку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 здоров’я.</w:t>
            </w:r>
          </w:p>
        </w:tc>
      </w:tr>
      <w:tr w:rsidR="0057273E">
        <w:trPr>
          <w:trHeight w:val="274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плати праці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hd w:val="clear" w:color="auto" w:fill="FFFFFF"/>
              <w:spacing w:after="0" w:line="266" w:lineRule="atLeast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посадовий оклад – 5500 грн.;</w:t>
            </w:r>
          </w:p>
          <w:p w:rsidR="0057273E" w:rsidRDefault="00450CD8">
            <w:pPr>
              <w:shd w:val="clear" w:color="auto" w:fill="FFFFFF"/>
              <w:spacing w:after="0" w:line="266" w:lineRule="atLeast"/>
              <w:ind w:right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57273E" w:rsidRDefault="00450CD8">
            <w:pPr>
              <w:shd w:val="clear" w:color="auto" w:fill="FFFFFF"/>
              <w:spacing w:after="0" w:line="266" w:lineRule="atLeast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57273E">
        <w:trPr>
          <w:trHeight w:val="88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безстроково;</w:t>
            </w:r>
          </w:p>
          <w:p w:rsidR="0057273E" w:rsidRDefault="00450CD8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повторного призначення без обов’язкового проведення конкурсу щороку.</w:t>
            </w:r>
          </w:p>
          <w:p w:rsidR="0057273E" w:rsidRDefault="0057273E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3E">
        <w:trPr>
          <w:trHeight w:val="88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1) заява про участь у конкурсі із зазначенням основних мотивів щодо зайняття посади за формою згідно з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додатком 2</w:t>
            </w:r>
            <w:r>
              <w:rPr>
                <w:rFonts w:ascii="Times New Roman" w:eastAsia="MS Mincho" w:hAnsi="Times New Roman" w:cs="Times New Roman"/>
                <w:spacing w:val="-4"/>
                <w:sz w:val="28"/>
                <w:szCs w:val="28"/>
                <w:lang w:eastAsia="ja-JP"/>
              </w:rPr>
              <w:t xml:space="preserve"> П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орядку проведення конкурсу на зайняття посад державної служби,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затвердженого постановою Кабінету Міністрів України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  <w:t>від  25 березня 2016 року № 246 (зі змінами)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;                                                  </w:t>
            </w:r>
          </w:p>
          <w:p w:rsidR="0057273E" w:rsidRDefault="00450CD8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MS Mincho" w:hAnsi="Times New Roman" w:cs="Times New Roman"/>
                <w:spacing w:val="-4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2) резюме за формою згідно з дода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тком 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MS Mincho" w:hAnsi="Times New Roman" w:cs="Times New Roman"/>
                <w:spacing w:val="-4"/>
                <w:sz w:val="28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:rsidR="0057273E" w:rsidRDefault="00450CD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pacing w:val="-4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pacing w:val="-4"/>
                <w:sz w:val="28"/>
                <w:szCs w:val="28"/>
                <w:lang w:eastAsia="ja-JP"/>
              </w:rPr>
              <w:t>прізвище, ім’я, по батькові кандидата;</w:t>
            </w:r>
          </w:p>
          <w:p w:rsidR="0057273E" w:rsidRDefault="00450CD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pacing w:val="-4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pacing w:val="-4"/>
                <w:sz w:val="28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57273E" w:rsidRDefault="00450CD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7273E" w:rsidRDefault="00450CD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відомості про стаж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7273E" w:rsidRDefault="00450CD8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 заява, в якій особа повідомляє, що до неї не застосовуються за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57273E" w:rsidRDefault="00450CD8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Style w:val="rvts37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мови.</w:t>
            </w:r>
          </w:p>
          <w:p w:rsidR="0057273E" w:rsidRDefault="00450CD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подається через Єдиний портал вакансій державної служби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17 год. 00 хв. </w:t>
            </w:r>
          </w:p>
          <w:p w:rsidR="0057273E" w:rsidRDefault="00450CD8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 жовтня 2021 року</w:t>
            </w:r>
          </w:p>
        </w:tc>
      </w:tr>
      <w:tr w:rsidR="0057273E">
        <w:trPr>
          <w:trHeight w:val="92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hd w:val="clear" w:color="auto" w:fill="FFFFFF"/>
              <w:spacing w:after="0" w:line="240" w:lineRule="auto"/>
              <w:ind w:left="133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конкурсу на зайняття посад державної служби</w:t>
            </w:r>
          </w:p>
        </w:tc>
      </w:tr>
      <w:tr w:rsidR="0057273E">
        <w:trPr>
          <w:trHeight w:val="151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Місце або спосіб проведення тестування. </w:t>
            </w:r>
          </w:p>
          <w:p w:rsidR="0057273E" w:rsidRDefault="0057273E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3E" w:rsidRDefault="0057273E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3E" w:rsidRDefault="0057273E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3E" w:rsidRDefault="0057273E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3E" w:rsidRDefault="0057273E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7273E" w:rsidRDefault="0057273E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28 жовтня  2021 року 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год. 00 хв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273E" w:rsidRDefault="00572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73E" w:rsidRDefault="00450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 </w:t>
            </w:r>
            <w:r>
              <w:rPr>
                <w:rFonts w:ascii="Times New Roman" w:hAnsi="Times New Roman"/>
                <w:sz w:val="28"/>
                <w:szCs w:val="28"/>
              </w:rPr>
              <w:t>Хмельницький вул. Кам’янецька, 141 (проведення тестування за фізичної присутності кандидатів)</w:t>
            </w:r>
          </w:p>
          <w:p w:rsidR="0057273E" w:rsidRDefault="0057273E">
            <w:pPr>
              <w:pStyle w:val="rvps14"/>
              <w:spacing w:before="0" w:beforeAutospacing="0" w:after="0" w:afterAutospacing="0"/>
              <w:ind w:right="128"/>
              <w:jc w:val="both"/>
              <w:rPr>
                <w:bCs/>
                <w:sz w:val="28"/>
                <w:szCs w:val="28"/>
              </w:rPr>
            </w:pPr>
          </w:p>
          <w:p w:rsidR="0057273E" w:rsidRDefault="00450CD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7273E" w:rsidRDefault="00572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73E" w:rsidRDefault="0045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 Хмельницький вул. Кам’янецька, 141  (проведення співбесіди за фізичної присутності кандидатів)</w:t>
            </w:r>
          </w:p>
          <w:p w:rsidR="0057273E" w:rsidRDefault="0057273E">
            <w:pPr>
              <w:pStyle w:val="rvps14"/>
              <w:spacing w:before="0" w:beforeAutospacing="0" w:after="0" w:afterAutospacing="0"/>
              <w:ind w:right="128"/>
              <w:jc w:val="both"/>
              <w:rPr>
                <w:bCs/>
                <w:sz w:val="28"/>
                <w:szCs w:val="28"/>
              </w:rPr>
            </w:pPr>
          </w:p>
          <w:p w:rsidR="0057273E" w:rsidRDefault="0057273E">
            <w:pPr>
              <w:pStyle w:val="rvps14"/>
              <w:spacing w:before="0" w:beforeAutospacing="0" w:after="0" w:afterAutospacing="0"/>
              <w:ind w:right="128"/>
              <w:jc w:val="both"/>
              <w:rPr>
                <w:rFonts w:cs="Calibri"/>
                <w:sz w:val="28"/>
                <w:szCs w:val="28"/>
              </w:rPr>
            </w:pPr>
          </w:p>
          <w:p w:rsidR="0057273E" w:rsidRDefault="0057273E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:rsidR="0057273E" w:rsidRDefault="0057273E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:rsidR="0057273E" w:rsidRDefault="00450CD8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 Хмельницький вул. Кам’янецька, 141 (проведення </w:t>
            </w:r>
            <w:r>
              <w:rPr>
                <w:sz w:val="28"/>
                <w:szCs w:val="28"/>
              </w:rPr>
              <w:t>співбесіди за фізичної присутності кандидатів)</w:t>
            </w:r>
          </w:p>
          <w:p w:rsidR="0057273E" w:rsidRDefault="0057273E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:rsidR="0057273E" w:rsidRDefault="0057273E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3E">
        <w:trPr>
          <w:trHeight w:val="1810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27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ВОЛИК Вікторія Леонтіївна</w:t>
            </w:r>
          </w:p>
          <w:p w:rsidR="0057273E" w:rsidRDefault="00450CD8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+380679764832</w:t>
            </w:r>
          </w:p>
          <w:p w:rsidR="0057273E" w:rsidRDefault="00450CD8">
            <w:pPr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torri1111@ukr.net</w:t>
            </w:r>
          </w:p>
        </w:tc>
      </w:tr>
      <w:tr w:rsidR="0057273E">
        <w:trPr>
          <w:trHeight w:val="87"/>
        </w:trPr>
        <w:tc>
          <w:tcPr>
            <w:tcW w:w="96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572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7273E">
        <w:trPr>
          <w:trHeight w:val="754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вища, ступінь освіти не нижче бакалавра, молодшого бакалавра</w:t>
            </w:r>
          </w:p>
        </w:tc>
      </w:tr>
      <w:tr w:rsidR="0057273E">
        <w:trPr>
          <w:trHeight w:val="364"/>
        </w:trPr>
        <w:tc>
          <w:tcPr>
            <w:tcW w:w="4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18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9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ind w:left="146" w:right="1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потребує</w:t>
            </w:r>
          </w:p>
        </w:tc>
      </w:tr>
      <w:tr w:rsidR="0057273E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  <w:p w:rsidR="0057273E" w:rsidRDefault="005727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3E" w:rsidRDefault="0057273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7273E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Вимоги до 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компетентності</w:t>
              </w:r>
            </w:hyperlink>
          </w:p>
        </w:tc>
      </w:tr>
      <w:tr w:rsidR="0057273E">
        <w:trPr>
          <w:trHeight w:val="87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57273E">
        <w:trPr>
          <w:trHeight w:val="40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before="150" w:after="150" w:line="240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146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здатність ефективно взаємодіяти: дослухатися, сприймати та викладати думку, розбудовувати партнерські відносини;</w:t>
            </w:r>
          </w:p>
          <w:p w:rsidR="0057273E" w:rsidRDefault="00450CD8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178"/>
              </w:tabs>
              <w:spacing w:after="0" w:line="240" w:lineRule="auto"/>
              <w:ind w:left="146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вміння публічно виступати перед аудиторією.</w:t>
            </w:r>
          </w:p>
        </w:tc>
      </w:tr>
      <w:tr w:rsidR="0057273E">
        <w:trPr>
          <w:trHeight w:val="40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pStyle w:val="rvps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Робота з великими масивами інформації 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встановлювати логічні взаємозв'язки; </w:t>
            </w:r>
            <w:r>
              <w:rPr>
                <w:sz w:val="28"/>
                <w:szCs w:val="28"/>
              </w:rPr>
              <w:br/>
              <w:t xml:space="preserve">вміння систематизувати великий масив інформації; </w:t>
            </w:r>
            <w:r>
              <w:rPr>
                <w:sz w:val="28"/>
                <w:szCs w:val="28"/>
              </w:rPr>
              <w:br/>
              <w:t>здатність виділяти головне, робити чіткі, структуровані висновки.</w:t>
            </w:r>
          </w:p>
        </w:tc>
      </w:tr>
      <w:tr w:rsidR="0057273E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pStyle w:val="1"/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усвідомлення важливості якісного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своїх посадових обов'язків з чітким дотриманням строків та встановлених процедур;</w:t>
            </w:r>
          </w:p>
          <w:p w:rsidR="0057273E" w:rsidRDefault="00450CD8">
            <w:pPr>
              <w:pStyle w:val="1"/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усвідомлення рівня відповідальності під час підготовки і прийняття рішень;</w:t>
            </w:r>
          </w:p>
          <w:p w:rsidR="0057273E" w:rsidRDefault="00450CD8">
            <w:pPr>
              <w:pStyle w:val="1"/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146" w:right="1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57273E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мотність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pStyle w:val="1"/>
              <w:numPr>
                <w:ilvl w:val="0"/>
                <w:numId w:val="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7273E" w:rsidRDefault="00450CD8">
            <w:pPr>
              <w:pStyle w:val="1"/>
              <w:numPr>
                <w:ilvl w:val="0"/>
                <w:numId w:val="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вміння використовувати сервіси інтернету для ефективного пошуку потрібної інформації; вміння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57273E" w:rsidRDefault="00450CD8">
            <w:pPr>
              <w:pStyle w:val="1"/>
              <w:numPr>
                <w:ilvl w:val="0"/>
                <w:numId w:val="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7273E" w:rsidRDefault="00450CD8">
            <w:pPr>
              <w:pStyle w:val="1"/>
              <w:numPr>
                <w:ilvl w:val="0"/>
                <w:numId w:val="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eading=h.30j0zll" w:colFirst="0" w:colLast="0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вміння використ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57273E">
        <w:trPr>
          <w:trHeight w:val="187"/>
        </w:trPr>
        <w:tc>
          <w:tcPr>
            <w:tcW w:w="96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57273E">
        <w:trPr>
          <w:trHeight w:val="87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39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57273E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273E" w:rsidRDefault="00450CD8">
            <w:pPr>
              <w:spacing w:after="2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57273E" w:rsidRDefault="00450CD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57273E" w:rsidRDefault="00450CD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57273E" w:rsidRDefault="00450CD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 запобігання корупції» та іншого законодавства</w:t>
            </w:r>
          </w:p>
        </w:tc>
      </w:tr>
      <w:tr w:rsidR="0057273E">
        <w:trPr>
          <w:trHeight w:val="967"/>
        </w:trPr>
        <w:tc>
          <w:tcPr>
            <w:tcW w:w="4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spacing w:after="20" w:line="240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73E" w:rsidRDefault="00450CD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57273E" w:rsidRDefault="00450CD8">
            <w:pPr>
              <w:spacing w:after="0" w:line="240" w:lineRule="atLeast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8"/>
                <w:szCs w:val="28"/>
              </w:rPr>
              <w:t>Закону України «Про освіту»;</w:t>
            </w:r>
          </w:p>
          <w:p w:rsidR="0057273E" w:rsidRDefault="00450CD8">
            <w:pPr>
              <w:spacing w:after="0" w:line="240" w:lineRule="atLeast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«Про повну загальну середню освіту»;</w:t>
            </w:r>
          </w:p>
          <w:p w:rsidR="0057273E" w:rsidRDefault="00450CD8">
            <w:pPr>
              <w:spacing w:after="0" w:line="240" w:lineRule="atLeast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Закону України «Про основні засади державного нагляду (контролю) у сфері </w:t>
            </w:r>
            <w:r>
              <w:rPr>
                <w:rFonts w:ascii="Times New Roman" w:hAnsi="Times New Roman"/>
                <w:sz w:val="28"/>
                <w:szCs w:val="28"/>
              </w:rPr>
              <w:t>господарської діяльності»;</w:t>
            </w:r>
          </w:p>
          <w:p w:rsidR="0057273E" w:rsidRDefault="00450CD8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 проведення моніторингу якості освіти, затверджений наказом Міністерства освіти і науки України 16 січня 2020 року № 54, зареєстрований в Міністерстві юстиції України 10 лютого 2020 р. за № 154/34437;</w:t>
            </w:r>
          </w:p>
          <w:p w:rsidR="0057273E" w:rsidRDefault="00450CD8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 ведення облік</w:t>
            </w:r>
            <w:r>
              <w:rPr>
                <w:rFonts w:ascii="Times New Roman" w:hAnsi="Times New Roman"/>
                <w:sz w:val="28"/>
                <w:szCs w:val="28"/>
              </w:rPr>
              <w:t>у дітей дошкільного, шкільного віку та учнів, затверджений постановою Кабінету Міністрів України від 13 вересня 2017 р. за № 684;</w:t>
            </w:r>
          </w:p>
          <w:p w:rsidR="0057273E" w:rsidRDefault="00450CD8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 проведення інституційного аудиту закладів загальної середньої освіти, затверджений наказом Міністерства освіти і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 09 січня 2019 року №     17 (у редакції наказу Міністерства освіти і науки України від 30 квітня 2021 року № 493);</w:t>
            </w:r>
          </w:p>
          <w:p w:rsidR="0057273E" w:rsidRDefault="00450CD8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 проведення позапланових перевірок закладів загальної середньої освіти, затверджений наказом Міністерства освіти і науки Укра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їни від 30.04.2021 № 493, зареєстрованого в Міністерстві юстиції України від 17 червня 2021 року за </w:t>
            </w:r>
          </w:p>
          <w:p w:rsidR="0057273E" w:rsidRDefault="00450CD8">
            <w:pPr>
              <w:spacing w:after="0" w:line="240" w:lineRule="atLeas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810/36432;</w:t>
            </w:r>
          </w:p>
          <w:p w:rsidR="0057273E" w:rsidRDefault="00450CD8">
            <w:pPr>
              <w:spacing w:after="0" w:line="240" w:lineRule="atLeast"/>
              <w:ind w:left="57" w:right="57" w:firstLine="15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Державну службу якості освіти України, затверджене постановою Кабінету Міністрів України від        14 березня 2018 р. за № 168.</w:t>
            </w:r>
          </w:p>
          <w:p w:rsidR="0057273E" w:rsidRDefault="0057273E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273E" w:rsidRDefault="0057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73E" w:rsidRDefault="0057273E">
      <w:pPr>
        <w:rPr>
          <w:sz w:val="28"/>
          <w:szCs w:val="28"/>
        </w:rPr>
      </w:pPr>
    </w:p>
    <w:sectPr w:rsidR="0057273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D8" w:rsidRDefault="00450CD8">
      <w:pPr>
        <w:spacing w:line="240" w:lineRule="auto"/>
      </w:pPr>
      <w:r>
        <w:separator/>
      </w:r>
    </w:p>
  </w:endnote>
  <w:endnote w:type="continuationSeparator" w:id="0">
    <w:p w:rsidR="00450CD8" w:rsidRDefault="0045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D8" w:rsidRDefault="00450CD8">
      <w:pPr>
        <w:spacing w:after="0"/>
      </w:pPr>
      <w:r>
        <w:separator/>
      </w:r>
    </w:p>
  </w:footnote>
  <w:footnote w:type="continuationSeparator" w:id="0">
    <w:p w:rsidR="00450CD8" w:rsidRDefault="00450C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3E" w:rsidRDefault="005727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57273E" w:rsidRDefault="0057273E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hAnsi="Times New Roman" w:cs="Times New Roman"/>
        <w:sz w:val="24"/>
        <w:szCs w:val="24"/>
      </w:rPr>
    </w:pPr>
  </w:p>
  <w:p w:rsidR="0057273E" w:rsidRDefault="0057273E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872"/>
    <w:multiLevelType w:val="multilevel"/>
    <w:tmpl w:val="0B0748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BC1"/>
    <w:multiLevelType w:val="multilevel"/>
    <w:tmpl w:val="14EE1BC1"/>
    <w:lvl w:ilvl="0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19243BA5"/>
    <w:multiLevelType w:val="multilevel"/>
    <w:tmpl w:val="19243BA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03"/>
    <w:rsid w:val="00135203"/>
    <w:rsid w:val="004061F3"/>
    <w:rsid w:val="00450CD8"/>
    <w:rsid w:val="0057273E"/>
    <w:rsid w:val="0067057A"/>
    <w:rsid w:val="006A19EA"/>
    <w:rsid w:val="008C3B06"/>
    <w:rsid w:val="00C05FFA"/>
    <w:rsid w:val="00DC3231"/>
    <w:rsid w:val="050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3741-D61C-4E1F-9E55-1432C78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qFormat/>
    <w:rPr>
      <w:rFonts w:cs="Times New Roman"/>
    </w:rPr>
  </w:style>
  <w:style w:type="paragraph" w:customStyle="1" w:styleId="1">
    <w:name w:val="Абзац списку1"/>
    <w:basedOn w:val="a"/>
    <w:pPr>
      <w:ind w:left="720"/>
      <w:contextualSpacing/>
    </w:pPr>
  </w:style>
  <w:style w:type="character" w:customStyle="1" w:styleId="rvts23">
    <w:name w:val="rvts23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76" w:lineRule="auto"/>
    </w:pPr>
    <w:rPr>
      <w:rFonts w:ascii="Times New Roman" w:hAnsi="Times New Roman"/>
      <w:sz w:val="28"/>
      <w:lang w:val="ru-RU" w:eastAsia="en-US"/>
    </w:rPr>
  </w:style>
  <w:style w:type="character" w:customStyle="1" w:styleId="rvts37">
    <w:name w:val="rvts37"/>
  </w:style>
  <w:style w:type="paragraph" w:styleId="a4">
    <w:name w:val="No Spacing"/>
    <w:uiPriority w:val="1"/>
    <w:qFormat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5658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2021-10-11T12:07:00Z</cp:lastPrinted>
  <dcterms:created xsi:type="dcterms:W3CDTF">2021-10-12T13:10:00Z</dcterms:created>
  <dcterms:modified xsi:type="dcterms:W3CDTF">2021-10-12T13:10:00Z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03B2E24EEBDE485988D852EC7EE0A29B</vt:lpwstr>
  </property>
</Properties>
</file>