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B3" w:rsidRPr="00011ADC" w:rsidRDefault="00046F61" w:rsidP="00DC7D5A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b/>
          <w:sz w:val="24"/>
          <w:szCs w:val="24"/>
          <w:lang w:eastAsia="en-US"/>
        </w:rPr>
        <w:t>ЗАТВЕРДЖЕНО</w:t>
      </w:r>
    </w:p>
    <w:p w:rsidR="0048179F" w:rsidRPr="00011ADC" w:rsidRDefault="00DC7D5A" w:rsidP="00FD76B3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48179F"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аказ управління Державної            </w:t>
      </w:r>
    </w:p>
    <w:p w:rsidR="0048179F" w:rsidRPr="00011ADC" w:rsidRDefault="00046F61" w:rsidP="00011ADC">
      <w:pPr>
        <w:ind w:left="426" w:firstLine="467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служби якості освіти у </w:t>
      </w:r>
      <w:r w:rsidR="0048179F" w:rsidRPr="00011ADC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011ADC">
        <w:rPr>
          <w:rFonts w:ascii="Times New Roman" w:eastAsia="Calibri" w:hAnsi="Times New Roman"/>
          <w:sz w:val="24"/>
          <w:szCs w:val="24"/>
          <w:lang w:eastAsia="en-US"/>
        </w:rPr>
        <w:t>. Києві</w:t>
      </w:r>
    </w:p>
    <w:p w:rsidR="00916A30" w:rsidRPr="006E65B1" w:rsidRDefault="00916A30" w:rsidP="00916A30">
      <w:pPr>
        <w:ind w:firstLine="5103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від 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27.09.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  <w:r w:rsidRPr="00011ADC">
        <w:rPr>
          <w:rFonts w:ascii="Times New Roman" w:eastAsia="Calibri" w:hAnsi="Times New Roman"/>
          <w:sz w:val="24"/>
          <w:szCs w:val="24"/>
          <w:lang w:eastAsia="en-US"/>
        </w:rPr>
        <w:t>2021  № 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43/01-05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8179F" w:rsidRPr="0010222F" w:rsidRDefault="0048179F" w:rsidP="0048179F">
      <w:pPr>
        <w:jc w:val="center"/>
        <w:rPr>
          <w:rFonts w:ascii="Times New Roman" w:hAnsi="Times New Roman"/>
          <w:b/>
          <w:sz w:val="24"/>
          <w:szCs w:val="24"/>
        </w:rPr>
      </w:pPr>
      <w:r w:rsidRPr="0010222F">
        <w:rPr>
          <w:rFonts w:ascii="Times New Roman" w:hAnsi="Times New Roman"/>
          <w:b/>
          <w:sz w:val="24"/>
          <w:szCs w:val="24"/>
        </w:rPr>
        <w:t>Умови</w:t>
      </w:r>
      <w:r w:rsidR="00046F61" w:rsidRPr="0010222F">
        <w:rPr>
          <w:rFonts w:ascii="Times New Roman" w:hAnsi="Times New Roman"/>
          <w:b/>
          <w:sz w:val="24"/>
          <w:szCs w:val="24"/>
        </w:rPr>
        <w:t xml:space="preserve"> </w:t>
      </w:r>
      <w:r w:rsidRPr="0010222F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046F61" w:rsidRPr="003859C0" w:rsidRDefault="00046F61" w:rsidP="004817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77EF">
        <w:rPr>
          <w:rFonts w:ascii="Times New Roman" w:hAnsi="Times New Roman"/>
          <w:b/>
          <w:sz w:val="24"/>
          <w:szCs w:val="24"/>
          <w:lang w:val="ru-RU"/>
        </w:rPr>
        <w:t xml:space="preserve"> на</w:t>
      </w:r>
      <w:r w:rsidRPr="003859C0">
        <w:rPr>
          <w:rFonts w:ascii="Times New Roman" w:hAnsi="Times New Roman"/>
          <w:b/>
          <w:bCs/>
          <w:sz w:val="24"/>
          <w:szCs w:val="24"/>
        </w:rPr>
        <w:t xml:space="preserve"> зайняття посади </w:t>
      </w:r>
      <w:r>
        <w:rPr>
          <w:rFonts w:ascii="Times New Roman" w:hAnsi="Times New Roman"/>
          <w:b/>
          <w:bCs/>
          <w:sz w:val="24"/>
          <w:szCs w:val="24"/>
        </w:rPr>
        <w:t>державної служби категорії «</w:t>
      </w:r>
      <w:r w:rsidR="00EA0169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E12991" w:rsidRPr="007E066A" w:rsidRDefault="00EA0169" w:rsidP="00046F61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головного </w:t>
      </w:r>
      <w:r w:rsidRPr="00FC32AE">
        <w:rPr>
          <w:rFonts w:ascii="Times New Roman" w:hAnsi="Times New Roman"/>
          <w:b/>
          <w:sz w:val="24"/>
          <w:szCs w:val="24"/>
          <w:lang w:val="ru-RU"/>
        </w:rPr>
        <w:t xml:space="preserve">спеціаліста </w:t>
      </w:r>
      <w:r w:rsidR="00FC32AE" w:rsidRPr="00FC32AE">
        <w:rPr>
          <w:rFonts w:ascii="Times New Roman" w:hAnsi="Times New Roman"/>
          <w:b/>
          <w:sz w:val="24"/>
          <w:szCs w:val="24"/>
          <w:lang w:val="ru-RU"/>
        </w:rPr>
        <w:t>з питань запобігання та виявлення корупції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859C0">
        <w:rPr>
          <w:rFonts w:ascii="Times New Roman" w:hAnsi="Times New Roman"/>
          <w:b/>
          <w:bCs/>
          <w:sz w:val="24"/>
          <w:szCs w:val="24"/>
        </w:rPr>
        <w:t xml:space="preserve">управління </w:t>
      </w:r>
      <w:r w:rsidRPr="003859C0">
        <w:rPr>
          <w:rFonts w:ascii="Times New Roman" w:hAnsi="Times New Roman"/>
          <w:b/>
          <w:color w:val="000000"/>
          <w:sz w:val="24"/>
          <w:szCs w:val="24"/>
        </w:rPr>
        <w:t xml:space="preserve">Державної служби якості освіти у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м. Києві 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"/>
        <w:gridCol w:w="2836"/>
        <w:gridCol w:w="6259"/>
      </w:tblGrid>
      <w:tr w:rsidR="00046F61" w:rsidRPr="005038A8" w:rsidTr="004D5D03">
        <w:trPr>
          <w:trHeight w:val="266"/>
        </w:trPr>
        <w:tc>
          <w:tcPr>
            <w:tcW w:w="9572" w:type="dxa"/>
            <w:gridSpan w:val="3"/>
          </w:tcPr>
          <w:p w:rsidR="00046F61" w:rsidRPr="005038A8" w:rsidRDefault="00046F61" w:rsidP="00F25243">
            <w:pPr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6259" w:type="dxa"/>
          </w:tcPr>
          <w:p w:rsidR="00FC32AE" w:rsidRPr="00FC32AE" w:rsidRDefault="00FC32AE" w:rsidP="00FC32AE">
            <w:pPr>
              <w:pStyle w:val="a3"/>
              <w:numPr>
                <w:ilvl w:val="0"/>
                <w:numId w:val="36"/>
              </w:numPr>
              <w:spacing w:beforeLines="40" w:before="96" w:afterLines="40" w:after="96"/>
              <w:ind w:left="372" w:right="12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FC3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озроблення, організація та контроль за проведенням заходів щодо запобігання корупційним правопорушенням або правопорушенням, пов’язаним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корупцією.</w:t>
            </w:r>
          </w:p>
          <w:p w:rsidR="00FC32AE" w:rsidRPr="00FC32AE" w:rsidRDefault="00FC32AE" w:rsidP="00FC32AE">
            <w:pPr>
              <w:pStyle w:val="a3"/>
              <w:numPr>
                <w:ilvl w:val="0"/>
                <w:numId w:val="36"/>
              </w:numPr>
              <w:spacing w:beforeLines="40" w:before="96" w:afterLines="40" w:after="96"/>
              <w:ind w:left="372" w:right="12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C3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рганізація роботи з оцінки корупційних ризиків у діяльності управління, підготовки заходів щодо їх усунення, внесення начальнику управління Державної служби якості освіти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Києві відповідних пропозицій.</w:t>
            </w:r>
          </w:p>
          <w:p w:rsidR="00FC32AE" w:rsidRPr="00FC32AE" w:rsidRDefault="00FC32AE" w:rsidP="00FC32AE">
            <w:pPr>
              <w:pStyle w:val="a3"/>
              <w:numPr>
                <w:ilvl w:val="0"/>
                <w:numId w:val="36"/>
              </w:numPr>
              <w:spacing w:beforeLines="40" w:before="96" w:afterLines="40" w:after="96"/>
              <w:ind w:left="372" w:right="12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FC32AE">
              <w:rPr>
                <w:rFonts w:ascii="Times New Roman" w:hAnsi="Times New Roman"/>
                <w:sz w:val="24"/>
                <w:szCs w:val="24"/>
                <w:lang w:val="uk-UA"/>
              </w:rPr>
              <w:t>адання методичної та консультаційної допомоги з питань додержання законодавства щодо запобігання корупції, у тому числі надання роз’яснень щодо заповнення декларацій особи, уповноваженої на виконання функцій держа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 або місцевого самоврядування.</w:t>
            </w:r>
          </w:p>
          <w:p w:rsidR="00FC32AE" w:rsidRPr="00FC32AE" w:rsidRDefault="00FC32AE" w:rsidP="00FC32AE">
            <w:pPr>
              <w:pStyle w:val="a3"/>
              <w:numPr>
                <w:ilvl w:val="0"/>
                <w:numId w:val="36"/>
              </w:numPr>
              <w:spacing w:beforeLines="40" w:before="96" w:afterLines="40" w:after="96"/>
              <w:ind w:left="372" w:right="12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FC3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дійснення заходів з виявлення конфлікту інтересів, сприяння його врегулюванню, інформування начальника управління Державної служби якості освіти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Києві</w:t>
            </w:r>
            <w:r w:rsidRPr="00FC3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Національного агентства з питань запобігання корупції про виявлення конфлікту інтересів та заходи, вжиті для його врегулювання; </w:t>
            </w:r>
          </w:p>
          <w:p w:rsidR="00FC32AE" w:rsidRPr="00FC32AE" w:rsidRDefault="00FC32AE" w:rsidP="00FC32AE">
            <w:pPr>
              <w:pStyle w:val="a3"/>
              <w:numPr>
                <w:ilvl w:val="0"/>
                <w:numId w:val="36"/>
              </w:numPr>
              <w:spacing w:beforeLines="40" w:before="96" w:afterLines="40" w:after="96"/>
              <w:ind w:left="372" w:right="12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C32AE">
              <w:rPr>
                <w:rFonts w:ascii="Times New Roman" w:hAnsi="Times New Roman"/>
                <w:sz w:val="24"/>
                <w:szCs w:val="24"/>
                <w:lang w:val="uk-UA"/>
              </w:rPr>
              <w:t>еревірка факту подання суб’єктами декларування декларацій та повідомлення Національного агентства з питань запобігання корупції про випадки неподання чи несвоєчасного подання таких декларацій у визначеному Законом України «Про запобігання корупц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ії» порядку.</w:t>
            </w:r>
          </w:p>
          <w:p w:rsidR="00FC32AE" w:rsidRPr="00FC32AE" w:rsidRDefault="00FC32AE" w:rsidP="00FC32AE">
            <w:pPr>
              <w:pStyle w:val="a3"/>
              <w:numPr>
                <w:ilvl w:val="0"/>
                <w:numId w:val="36"/>
              </w:numPr>
              <w:spacing w:beforeLines="40" w:before="96" w:afterLines="40" w:after="96"/>
              <w:ind w:left="372" w:right="12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FC32AE">
              <w:rPr>
                <w:rFonts w:ascii="Times New Roman" w:hAnsi="Times New Roman"/>
                <w:sz w:val="24"/>
                <w:szCs w:val="24"/>
                <w:lang w:val="uk-UA"/>
              </w:rPr>
              <w:t>дійснення контролю за дотриманням антикорупційного законодавства, у тому числі розгляд повідомлень про порушення працівниками управління вимог Закону Укр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аїни «Про запобігання корупції».</w:t>
            </w:r>
          </w:p>
          <w:p w:rsidR="00FC32AE" w:rsidRPr="00FC32AE" w:rsidRDefault="00FC32AE" w:rsidP="00FC32AE">
            <w:pPr>
              <w:pStyle w:val="a3"/>
              <w:numPr>
                <w:ilvl w:val="0"/>
                <w:numId w:val="36"/>
              </w:numPr>
              <w:spacing w:beforeLines="40" w:before="96" w:afterLines="40" w:after="96"/>
              <w:ind w:left="372" w:right="12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FC32AE">
              <w:rPr>
                <w:rFonts w:ascii="Times New Roman" w:hAnsi="Times New Roman"/>
                <w:sz w:val="24"/>
                <w:szCs w:val="24"/>
                <w:lang w:val="uk-UA"/>
              </w:rPr>
              <w:t>абезпечення захисту працівників, які повідомили про порушення вимог Закону України «Про запобігання корупції», від застосування негативних заходів впливу з боку керівника або роботодавця відповідно до законо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давства щодо захисту викривачів.</w:t>
            </w:r>
          </w:p>
          <w:p w:rsidR="00FC32AE" w:rsidRPr="00FC32AE" w:rsidRDefault="00FC32AE" w:rsidP="00FC32AE">
            <w:pPr>
              <w:pStyle w:val="a3"/>
              <w:numPr>
                <w:ilvl w:val="0"/>
                <w:numId w:val="36"/>
              </w:numPr>
              <w:spacing w:beforeLines="40" w:before="96" w:afterLines="40" w:after="96"/>
              <w:ind w:left="372" w:right="12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C3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нформування начальника управління Державної </w:t>
            </w:r>
            <w:r w:rsidRPr="00FC32A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служби якості освіти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Києві</w:t>
            </w:r>
            <w:r w:rsidRPr="00FC3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Національного агентства з питань запобігання корупції або інших спеціально уповноважених суб’єктів у сфері протидії корупції про факти порушення законодавства у сфері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і протидії корупції.</w:t>
            </w:r>
          </w:p>
          <w:p w:rsidR="00FC32AE" w:rsidRPr="00FC32AE" w:rsidRDefault="00FC32AE" w:rsidP="00FC32AE">
            <w:pPr>
              <w:pStyle w:val="a3"/>
              <w:numPr>
                <w:ilvl w:val="0"/>
                <w:numId w:val="36"/>
              </w:numPr>
              <w:spacing w:beforeLines="40" w:before="96" w:afterLines="40" w:after="96"/>
              <w:ind w:left="372" w:right="125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FC32AE">
              <w:rPr>
                <w:rFonts w:ascii="Times New Roman" w:hAnsi="Times New Roman"/>
                <w:sz w:val="24"/>
                <w:szCs w:val="24"/>
                <w:lang w:val="uk-UA"/>
              </w:rPr>
              <w:t>едення обліку працівників управління, притягнутих до відповідальності за вчи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нення корупційних правопорушень.</w:t>
            </w:r>
          </w:p>
          <w:p w:rsidR="0048179F" w:rsidRPr="00D1228B" w:rsidRDefault="00FC32AE" w:rsidP="00FC32AE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72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r w:rsidRPr="00FC32A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дійснення експертизи проєктів організаційно-розпорядчих документів управління з метою виявлення причин, що призводять чи можуть призвести до вчинення корупційних правопорушень.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59" w:type="dxa"/>
          </w:tcPr>
          <w:p w:rsidR="00313605" w:rsidRPr="005038A8" w:rsidRDefault="0010222F" w:rsidP="00313605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згідно з</w:t>
            </w:r>
            <w:r w:rsidR="00D1228B">
              <w:rPr>
                <w:rFonts w:ascii="Times New Roman" w:hAnsi="Times New Roman"/>
                <w:sz w:val="24"/>
                <w:szCs w:val="24"/>
                <w:lang w:val="uk-UA"/>
              </w:rPr>
              <w:t>і штатним розписом у розмірі 5</w:t>
            </w:r>
            <w:r w:rsidR="00E12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22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00 гривень;</w:t>
            </w:r>
          </w:p>
          <w:p w:rsidR="00313605" w:rsidRPr="005038A8" w:rsidRDefault="0010222F" w:rsidP="00313605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адбавки, доплати та компенсації відповідно до статті 52 Закону України «Про державну службу»;</w:t>
            </w:r>
          </w:p>
          <w:p w:rsidR="00046F61" w:rsidRPr="005038A8" w:rsidRDefault="0010222F" w:rsidP="00011ADC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адбавка до посадового окладу за ранг державного службовця відповідно до постанови Кабінету Міністрів України від 18 січня 2017 р</w:t>
            </w:r>
            <w:r w:rsidR="00011ADC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15 «Питання оплати праці працівників державних органів» (із змінами).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59" w:type="dxa"/>
          </w:tcPr>
          <w:p w:rsidR="00046F61" w:rsidRPr="005038A8" w:rsidRDefault="00FD76B3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5038A8">
              <w:rPr>
                <w:color w:val="000000"/>
                <w:sz w:val="24"/>
                <w:lang w:val="uk-UA"/>
              </w:rPr>
              <w:t>Безстроково</w:t>
            </w:r>
            <w:r w:rsidR="00E4559D" w:rsidRPr="005038A8">
              <w:rPr>
                <w:color w:val="000000"/>
                <w:sz w:val="24"/>
                <w:lang w:val="uk-UA"/>
              </w:rPr>
              <w:t>.</w:t>
            </w:r>
            <w:r w:rsidRPr="005038A8">
              <w:rPr>
                <w:color w:val="000000"/>
                <w:sz w:val="24"/>
                <w:lang w:val="uk-UA"/>
              </w:rPr>
              <w:t xml:space="preserve"> </w:t>
            </w:r>
          </w:p>
          <w:p w:rsidR="00011ADC" w:rsidRDefault="00011ADC" w:rsidP="00D53B55">
            <w:pPr>
              <w:pStyle w:val="a6"/>
              <w:rPr>
                <w:sz w:val="24"/>
                <w:lang w:val="uk-UA"/>
              </w:rPr>
            </w:pPr>
          </w:p>
          <w:p w:rsidR="00E4559D" w:rsidRPr="005038A8" w:rsidRDefault="00E4559D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5038A8">
              <w:rPr>
                <w:sz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доборі, та строк її подання</w:t>
            </w:r>
          </w:p>
        </w:tc>
        <w:tc>
          <w:tcPr>
            <w:tcW w:w="6259" w:type="dxa"/>
          </w:tcPr>
          <w:p w:rsidR="00046F61" w:rsidRPr="005038A8" w:rsidRDefault="00046F61" w:rsidP="00D53B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Особа, яка бажає взяти участь у </w:t>
            </w:r>
            <w:r w:rsidR="00FD76B3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конкурсі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призначення на вакантну посаду, подає таку інформацію через Єдиний портал вакансій державної служби:</w:t>
            </w:r>
          </w:p>
          <w:p w:rsidR="00FD76B3" w:rsidRDefault="00FD76B3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про участь у конкурсі </w:t>
            </w:r>
            <w:r w:rsidR="00C5265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із зазначен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C5265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ям основних мотивів</w:t>
            </w:r>
            <w:r w:rsidR="003558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558E1" w:rsidRPr="00D21549">
              <w:rPr>
                <w:rFonts w:ascii="Times New Roman" w:hAnsi="Times New Roman"/>
                <w:sz w:val="24"/>
                <w:szCs w:val="24"/>
                <w:lang w:val="uk-UA"/>
              </w:rPr>
              <w:t>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246</w:t>
            </w:r>
            <w:r w:rsidR="003558E1" w:rsidRPr="00D215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(далі - Порядок)</w:t>
            </w:r>
            <w:r w:rsidR="00011A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6F61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резюме 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</w:t>
            </w:r>
            <w:r w:rsidR="002C1B7E" w:rsidRPr="005038A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2C1B7E" w:rsidRPr="005038A8">
              <w:rPr>
                <w:rStyle w:val="rvts3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A322D" w:rsidRPr="00BA322D">
              <w:rPr>
                <w:rFonts w:ascii="Times New Roman" w:hAnsi="Times New Roman"/>
                <w:sz w:val="24"/>
                <w:szCs w:val="24"/>
                <w:lang w:val="uk-UA"/>
              </w:rPr>
              <w:t>в якому обов’язково зазначається така інформація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46F61" w:rsidRPr="005038A8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заяв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3¹) копію Державного сертифіката про рівень володіння державною мовою (витяг з реєстру Державних сертифі</w:t>
            </w:r>
            <w:r w:rsidRPr="00E41FE0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катів</w:t>
            </w:r>
            <w:r w:rsidRPr="00E41FE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5038A8" w:rsidRPr="00BA322D" w:rsidRDefault="005038A8" w:rsidP="00D53B5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F61" w:rsidRPr="005038A8" w:rsidRDefault="00046F61" w:rsidP="00D53B5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Адресат управління Державної служби якості освіти у м.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Києві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6F61" w:rsidRPr="005038A8" w:rsidRDefault="00046F61" w:rsidP="00943B7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приймається до </w:t>
            </w:r>
            <w:r w:rsidR="00943B70" w:rsidRPr="00943B7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43B70">
              <w:rPr>
                <w:rFonts w:ascii="Times New Roman" w:hAnsi="Times New Roman"/>
                <w:sz w:val="24"/>
                <w:szCs w:val="24"/>
              </w:rPr>
              <w:t>6.45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  <w:r w:rsidR="00457AB0"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3B70">
              <w:rPr>
                <w:rFonts w:ascii="Times New Roman" w:hAnsi="Times New Roman"/>
                <w:sz w:val="24"/>
                <w:szCs w:val="24"/>
              </w:rPr>
              <w:t>08.10.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2C1B7E" w:rsidRPr="00011AD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714592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ключно</w:t>
            </w:r>
            <w:r w:rsidR="002C1B7E" w:rsidRPr="005038A8">
              <w:rPr>
                <w:lang w:val="uk-UA"/>
              </w:rPr>
              <w:t xml:space="preserve"> 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через Єдиний портал вакансій державної служби НАДС (career.gov.ua)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Pr="00943B70" w:rsidRDefault="005C1DEF" w:rsidP="00C90FFC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59" w:type="dxa"/>
          </w:tcPr>
          <w:p w:rsidR="005C1DEF" w:rsidRPr="005038A8" w:rsidRDefault="005C1DEF" w:rsidP="005C1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додатком 3 до Порядку проведення конкурсу на зайняття посад державної служби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і час початку проведення тестування кандидатів. 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або спосіб проведення тестування. 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</w:t>
            </w:r>
          </w:p>
        </w:tc>
        <w:tc>
          <w:tcPr>
            <w:tcW w:w="6259" w:type="dxa"/>
          </w:tcPr>
          <w:p w:rsidR="005C1DEF" w:rsidRPr="005038A8" w:rsidRDefault="00943B70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жовтня</w:t>
            </w:r>
            <w:r w:rsidR="005C1DEF" w:rsidRPr="005038A8">
              <w:rPr>
                <w:sz w:val="24"/>
                <w:szCs w:val="24"/>
                <w:lang w:val="uk-UA"/>
              </w:rPr>
              <w:t xml:space="preserve"> 2021 року </w:t>
            </w:r>
            <w:r>
              <w:rPr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  <w:r w:rsidR="005C1DEF" w:rsidRPr="005038A8">
              <w:rPr>
                <w:sz w:val="24"/>
                <w:szCs w:val="24"/>
                <w:lang w:val="uk-UA"/>
              </w:rPr>
              <w:t xml:space="preserve"> год. 00 хв. 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038A8">
              <w:rPr>
                <w:sz w:val="24"/>
                <w:szCs w:val="24"/>
                <w:lang w:val="uk-UA"/>
              </w:rPr>
              <w:t xml:space="preserve">Проведення тестування дистанційно. 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038A8">
              <w:rPr>
                <w:sz w:val="24"/>
                <w:szCs w:val="24"/>
                <w:lang w:val="uk-UA"/>
              </w:rPr>
              <w:t>Проведення співбесіди дистанційно. Платформа ZOOM.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 w:rsidRPr="005038A8">
              <w:rPr>
                <w:sz w:val="24"/>
                <w:szCs w:val="24"/>
                <w:lang w:val="uk-UA"/>
              </w:rPr>
              <w:t>Проведення співбесіди дистанційно. Платформа ZOOM.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3558E1" w:rsidRPr="005038A8" w:rsidRDefault="003558E1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9" w:type="dxa"/>
          </w:tcPr>
          <w:p w:rsidR="005C1DEF" w:rsidRPr="005038A8" w:rsidRDefault="005C1DEF" w:rsidP="009261CD">
            <w:pPr>
              <w:pStyle w:val="a6"/>
              <w:rPr>
                <w:bCs/>
                <w:sz w:val="24"/>
                <w:lang w:val="uk-UA" w:eastAsia="uk-UA"/>
              </w:rPr>
            </w:pPr>
            <w:r w:rsidRPr="005038A8">
              <w:rPr>
                <w:bCs/>
                <w:sz w:val="24"/>
                <w:lang w:val="uk-UA" w:eastAsia="uk-UA"/>
              </w:rPr>
              <w:t>Бабінець Світлана Іванівна</w:t>
            </w:r>
          </w:p>
          <w:p w:rsidR="005C1DEF" w:rsidRPr="005038A8" w:rsidRDefault="005C1DEF" w:rsidP="009261CD">
            <w:pPr>
              <w:pStyle w:val="a6"/>
              <w:rPr>
                <w:bCs/>
                <w:sz w:val="24"/>
                <w:lang w:val="uk-UA" w:eastAsia="uk-UA"/>
              </w:rPr>
            </w:pPr>
            <w:r w:rsidRPr="005038A8">
              <w:rPr>
                <w:bCs/>
                <w:sz w:val="24"/>
                <w:lang w:val="uk-UA" w:eastAsia="uk-UA"/>
              </w:rPr>
              <w:t>+380 97 619 15 62</w:t>
            </w:r>
          </w:p>
          <w:p w:rsidR="005C1DEF" w:rsidRPr="005038A8" w:rsidRDefault="005C1DEF" w:rsidP="009261CD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 w:rsidRPr="005038A8">
              <w:rPr>
                <w:sz w:val="24"/>
                <w:lang w:val="uk-UA"/>
              </w:rPr>
              <w:t>kyiv.sqe@gmail.com</w:t>
            </w:r>
          </w:p>
        </w:tc>
      </w:tr>
      <w:tr w:rsidR="005C1DEF" w:rsidRPr="005038A8" w:rsidTr="004D5D03">
        <w:tc>
          <w:tcPr>
            <w:tcW w:w="9572" w:type="dxa"/>
            <w:gridSpan w:val="3"/>
          </w:tcPr>
          <w:p w:rsidR="005C1DEF" w:rsidRPr="005038A8" w:rsidRDefault="005C1DEF" w:rsidP="00F25243">
            <w:pPr>
              <w:pStyle w:val="rvps2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259" w:type="dxa"/>
          </w:tcPr>
          <w:p w:rsidR="005C1DEF" w:rsidRPr="00990A4B" w:rsidRDefault="00990A4B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Вища освіта за освітнім ступенем не нижче бакалавра, </w:t>
            </w: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молодшого бакалавра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259" w:type="dxa"/>
          </w:tcPr>
          <w:p w:rsidR="005C1DEF" w:rsidRPr="005038A8" w:rsidRDefault="00990A4B" w:rsidP="005038A8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 досвіду роботи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259" w:type="dxa"/>
          </w:tcPr>
          <w:p w:rsidR="005C1DEF" w:rsidRPr="005038A8" w:rsidRDefault="00C508E7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C0EA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ільне володіння державною мовою </w:t>
            </w:r>
            <w:r w:rsidRPr="001C0E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(наявність Державного сертифіката про рівень володіння державною мовою або витяг з реєстру Державних сертифікатів про рівень володіння державною мовою) виданий Національною </w:t>
            </w:r>
            <w:r w:rsidRPr="001C0EA9">
              <w:rPr>
                <w:rFonts w:ascii="Times New Roman" w:hAnsi="Times New Roman"/>
                <w:sz w:val="24"/>
                <w:szCs w:val="24"/>
                <w:lang w:val="uk-UA"/>
              </w:rPr>
              <w:t>комісією зі стандартів державної мови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6259" w:type="dxa"/>
          </w:tcPr>
          <w:p w:rsidR="005C1DEF" w:rsidRPr="005038A8" w:rsidRDefault="00990A4B" w:rsidP="00D53B55">
            <w:pPr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5C1DEF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5C1DEF" w:rsidRPr="005038A8" w:rsidTr="00D53B55">
        <w:tc>
          <w:tcPr>
            <w:tcW w:w="9572" w:type="dxa"/>
            <w:gridSpan w:val="3"/>
          </w:tcPr>
          <w:p w:rsidR="005C1DEF" w:rsidRPr="005038A8" w:rsidRDefault="005C1DEF" w:rsidP="00F252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5C1DEF" w:rsidRPr="005038A8" w:rsidTr="00D53B55">
        <w:tc>
          <w:tcPr>
            <w:tcW w:w="3313" w:type="dxa"/>
            <w:gridSpan w:val="2"/>
          </w:tcPr>
          <w:p w:rsidR="005C1DEF" w:rsidRPr="005038A8" w:rsidRDefault="005C1DEF" w:rsidP="004D5D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5038A8" w:rsidRDefault="005C1DEF" w:rsidP="004D5D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Компоменти</w:t>
            </w:r>
            <w:proofErr w:type="spellEnd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вимоги</w:t>
            </w:r>
          </w:p>
        </w:tc>
      </w:tr>
      <w:tr w:rsidR="001D0E12" w:rsidRPr="005038A8" w:rsidTr="004D5D03">
        <w:trPr>
          <w:trHeight w:val="75"/>
        </w:trPr>
        <w:tc>
          <w:tcPr>
            <w:tcW w:w="477" w:type="dxa"/>
          </w:tcPr>
          <w:p w:rsidR="001D0E12" w:rsidRPr="005038A8" w:rsidRDefault="001D0E12" w:rsidP="001D0E1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1D0E12" w:rsidRPr="00990A4B" w:rsidRDefault="001D0E12" w:rsidP="001D0E12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Робота з великими </w:t>
            </w: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масивами інформації</w:t>
            </w:r>
          </w:p>
        </w:tc>
        <w:tc>
          <w:tcPr>
            <w:tcW w:w="6259" w:type="dxa"/>
          </w:tcPr>
          <w:p w:rsidR="001D0E12" w:rsidRPr="00990A4B" w:rsidRDefault="001D0E12" w:rsidP="001D0E12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Здатність встановлювати логічні взаємозв’язки.</w:t>
            </w:r>
          </w:p>
          <w:p w:rsidR="001D0E12" w:rsidRPr="00990A4B" w:rsidRDefault="001D0E12" w:rsidP="001D0E12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системати</w:t>
            </w: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зувати великий масив інформації.</w:t>
            </w:r>
          </w:p>
          <w:p w:rsidR="001D0E12" w:rsidRPr="00990A4B" w:rsidRDefault="001D0E12" w:rsidP="001D0E12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виділяти головне, робити чіткі, структуровані висновки</w:t>
            </w:r>
          </w:p>
        </w:tc>
      </w:tr>
      <w:tr w:rsidR="001D0E12" w:rsidRPr="005038A8" w:rsidTr="004D5D03">
        <w:trPr>
          <w:trHeight w:val="75"/>
        </w:trPr>
        <w:tc>
          <w:tcPr>
            <w:tcW w:w="477" w:type="dxa"/>
          </w:tcPr>
          <w:p w:rsidR="001D0E12" w:rsidRPr="005038A8" w:rsidRDefault="001D0E12" w:rsidP="001D0E12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6" w:type="dxa"/>
          </w:tcPr>
          <w:p w:rsidR="001D0E12" w:rsidRPr="00990A4B" w:rsidRDefault="001D0E12" w:rsidP="001D0E12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Аналітичні здібності</w:t>
            </w:r>
          </w:p>
        </w:tc>
        <w:tc>
          <w:tcPr>
            <w:tcW w:w="6259" w:type="dxa"/>
          </w:tcPr>
          <w:p w:rsidR="001D0E12" w:rsidRPr="00990A4B" w:rsidRDefault="001D0E12" w:rsidP="001D0E12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закономірності.</w:t>
            </w:r>
          </w:p>
          <w:p w:rsidR="001D0E12" w:rsidRPr="00990A4B" w:rsidRDefault="001D0E12" w:rsidP="001D0E12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встановлювати причинно-наслідкові зв’язки.</w:t>
            </w:r>
          </w:p>
          <w:p w:rsidR="001D0E12" w:rsidRPr="00990A4B" w:rsidRDefault="001D0E12" w:rsidP="001D0E12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D0E12" w:rsidRPr="005038A8" w:rsidTr="004D5D03">
        <w:trPr>
          <w:trHeight w:val="75"/>
        </w:trPr>
        <w:tc>
          <w:tcPr>
            <w:tcW w:w="477" w:type="dxa"/>
          </w:tcPr>
          <w:p w:rsidR="001D0E12" w:rsidRPr="005038A8" w:rsidRDefault="001D0E12" w:rsidP="001D0E12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6" w:type="dxa"/>
          </w:tcPr>
          <w:p w:rsidR="001D0E12" w:rsidRPr="00990A4B" w:rsidRDefault="001D0E12" w:rsidP="001D0E12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259" w:type="dxa"/>
          </w:tcPr>
          <w:p w:rsidR="001D0E12" w:rsidRPr="00990A4B" w:rsidRDefault="001D0E12" w:rsidP="001D0E12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Чітке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точне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формулювання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мети,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службової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1D0E12" w:rsidRPr="00990A4B" w:rsidRDefault="001D0E12" w:rsidP="001D0E12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Комплексний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підхід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виявлення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ризиків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1D0E12" w:rsidRPr="00990A4B" w:rsidRDefault="001D0E12" w:rsidP="001D0E12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Розуміння змісту завдання</w:t>
            </w:r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кінцевих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самостійне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можливих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шляхів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досягнення</w:t>
            </w:r>
            <w:proofErr w:type="spellEnd"/>
          </w:p>
        </w:tc>
      </w:tr>
      <w:tr w:rsidR="001D0E12" w:rsidRPr="005038A8" w:rsidTr="004D5D03">
        <w:trPr>
          <w:trHeight w:val="75"/>
        </w:trPr>
        <w:tc>
          <w:tcPr>
            <w:tcW w:w="477" w:type="dxa"/>
          </w:tcPr>
          <w:p w:rsidR="001D0E12" w:rsidRPr="005038A8" w:rsidRDefault="001D0E12" w:rsidP="001D0E1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1D0E12" w:rsidRPr="00990A4B" w:rsidRDefault="001D0E12" w:rsidP="001D0E12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Багатозадачність</w:t>
            </w:r>
            <w:proofErr w:type="spellEnd"/>
          </w:p>
        </w:tc>
        <w:tc>
          <w:tcPr>
            <w:tcW w:w="6259" w:type="dxa"/>
          </w:tcPr>
          <w:p w:rsidR="001D0E12" w:rsidRPr="00990A4B" w:rsidRDefault="001D0E12" w:rsidP="001D0E12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концентрувати (не втрачати) увагу на виконанні завдання.</w:t>
            </w:r>
          </w:p>
          <w:p w:rsidR="001D0E12" w:rsidRPr="00990A4B" w:rsidRDefault="001D0E12" w:rsidP="001D0E12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розкладати завдання на процеси, спрощувати їх.</w:t>
            </w:r>
          </w:p>
          <w:p w:rsidR="001D0E12" w:rsidRPr="00990A4B" w:rsidRDefault="001D0E12" w:rsidP="001D0E12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швидко змінювати напрям роботи (діяльності).</w:t>
            </w:r>
          </w:p>
          <w:p w:rsidR="001D0E12" w:rsidRPr="00990A4B" w:rsidRDefault="001D0E12" w:rsidP="001D0E12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Уміння управляти результатом і бачити прогрес</w:t>
            </w:r>
          </w:p>
        </w:tc>
      </w:tr>
      <w:tr w:rsidR="001D0E12" w:rsidRPr="005038A8" w:rsidTr="004D5D03">
        <w:trPr>
          <w:trHeight w:val="75"/>
        </w:trPr>
        <w:tc>
          <w:tcPr>
            <w:tcW w:w="477" w:type="dxa"/>
          </w:tcPr>
          <w:p w:rsidR="001D0E12" w:rsidRPr="005038A8" w:rsidRDefault="001D0E12" w:rsidP="001D0E1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1D0E12" w:rsidRPr="00A1189C" w:rsidRDefault="001D0E12" w:rsidP="001D0E12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118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259" w:type="dxa"/>
          </w:tcPr>
          <w:p w:rsidR="001D0E12" w:rsidRPr="00A1189C" w:rsidRDefault="001D0E12" w:rsidP="001D0E12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обов'язків.</w:t>
            </w:r>
          </w:p>
          <w:p w:rsidR="001D0E12" w:rsidRPr="00A1189C" w:rsidRDefault="001D0E12" w:rsidP="001D0E12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використовувати сервіси інтернету для ефективного пошуку потрібної інформації.</w:t>
            </w:r>
          </w:p>
          <w:p w:rsidR="001D0E12" w:rsidRPr="00A1189C" w:rsidRDefault="001D0E12" w:rsidP="001D0E12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перевіряти надійність джерел і достовірність даних та інформації у цифровому середовищі.</w:t>
            </w:r>
          </w:p>
          <w:p w:rsidR="001D0E12" w:rsidRPr="00A1189C" w:rsidRDefault="001D0E12" w:rsidP="001D0E12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  <w:p w:rsidR="001D0E12" w:rsidRPr="00A1189C" w:rsidRDefault="001D0E12" w:rsidP="001D0E12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уникати небезпек у цифровому середовищі, захищати особисті та конфіденційні дані.</w:t>
            </w:r>
          </w:p>
          <w:p w:rsidR="001D0E12" w:rsidRPr="00A1189C" w:rsidRDefault="001D0E12" w:rsidP="001D0E12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1D0E12" w:rsidRPr="00A1189C" w:rsidRDefault="001D0E12" w:rsidP="001D0E12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користуватися кваліфікованим електронним підписом (КЕП).</w:t>
            </w:r>
          </w:p>
        </w:tc>
      </w:tr>
      <w:tr w:rsidR="005C1DEF" w:rsidRPr="005038A8" w:rsidTr="00D53B55">
        <w:trPr>
          <w:trHeight w:val="75"/>
        </w:trPr>
        <w:tc>
          <w:tcPr>
            <w:tcW w:w="9572" w:type="dxa"/>
            <w:gridSpan w:val="3"/>
          </w:tcPr>
          <w:p w:rsidR="005C1DEF" w:rsidRPr="005038A8" w:rsidRDefault="005C1DEF" w:rsidP="00B548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5C1DEF" w:rsidRPr="005038A8" w:rsidTr="00D53B55">
        <w:trPr>
          <w:trHeight w:val="75"/>
        </w:trPr>
        <w:tc>
          <w:tcPr>
            <w:tcW w:w="3313" w:type="dxa"/>
            <w:gridSpan w:val="2"/>
          </w:tcPr>
          <w:p w:rsidR="005C1DEF" w:rsidRPr="005038A8" w:rsidRDefault="005C1DEF" w:rsidP="00B548A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5038A8" w:rsidRDefault="005C1DEF" w:rsidP="00B548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Компоменти</w:t>
            </w:r>
            <w:proofErr w:type="spellEnd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вимоги</w:t>
            </w:r>
          </w:p>
        </w:tc>
      </w:tr>
      <w:tr w:rsidR="00C56765" w:rsidRPr="005038A8" w:rsidTr="004D5D03">
        <w:trPr>
          <w:trHeight w:val="75"/>
        </w:trPr>
        <w:tc>
          <w:tcPr>
            <w:tcW w:w="477" w:type="dxa"/>
          </w:tcPr>
          <w:p w:rsidR="00C56765" w:rsidRPr="005038A8" w:rsidRDefault="00C56765" w:rsidP="00C5676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C56765" w:rsidRPr="00C56765" w:rsidRDefault="00C56765" w:rsidP="00C56765">
            <w:pPr>
              <w:spacing w:after="20"/>
              <w:ind w:lef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65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C5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59" w:type="dxa"/>
          </w:tcPr>
          <w:p w:rsidR="00C56765" w:rsidRPr="00C56765" w:rsidRDefault="00C56765" w:rsidP="00C56765">
            <w:pPr>
              <w:tabs>
                <w:tab w:val="left" w:pos="129"/>
              </w:tabs>
              <w:spacing w:after="20"/>
              <w:ind w:left="135" w:right="12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65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C567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6765" w:rsidRPr="00C56765" w:rsidRDefault="00C56765" w:rsidP="00C56765">
            <w:pPr>
              <w:tabs>
                <w:tab w:val="left" w:pos="129"/>
              </w:tabs>
              <w:spacing w:after="20"/>
              <w:ind w:left="135" w:right="12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65">
              <w:rPr>
                <w:rFonts w:ascii="Times New Roman" w:hAnsi="Times New Roman"/>
                <w:sz w:val="24"/>
                <w:szCs w:val="24"/>
              </w:rPr>
              <w:lastRenderedPageBreak/>
              <w:t>Конституції</w:t>
            </w:r>
            <w:proofErr w:type="spellEnd"/>
            <w:r w:rsidRPr="00C5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6765" w:rsidRPr="00C56765" w:rsidRDefault="00C56765" w:rsidP="00C56765">
            <w:pPr>
              <w:tabs>
                <w:tab w:val="left" w:pos="129"/>
              </w:tabs>
              <w:spacing w:after="20"/>
              <w:ind w:left="135" w:right="12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65">
              <w:rPr>
                <w:rFonts w:ascii="Times New Roman" w:hAnsi="Times New Roman"/>
                <w:sz w:val="24"/>
                <w:szCs w:val="24"/>
              </w:rPr>
              <w:t xml:space="preserve">Закону </w:t>
            </w:r>
            <w:proofErr w:type="spellStart"/>
            <w:r w:rsidRPr="00C56765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C56765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C56765">
              <w:rPr>
                <w:rFonts w:ascii="Times New Roman" w:hAnsi="Times New Roman"/>
                <w:sz w:val="24"/>
                <w:szCs w:val="24"/>
              </w:rPr>
              <w:t xml:space="preserve"> службу»;</w:t>
            </w:r>
          </w:p>
          <w:p w:rsidR="00C56765" w:rsidRPr="00C56765" w:rsidRDefault="00C56765" w:rsidP="00C56765">
            <w:pPr>
              <w:tabs>
                <w:tab w:val="left" w:pos="129"/>
              </w:tabs>
              <w:spacing w:after="20"/>
              <w:ind w:left="135" w:right="12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65">
              <w:rPr>
                <w:rFonts w:ascii="Times New Roman" w:hAnsi="Times New Roman"/>
                <w:sz w:val="24"/>
                <w:szCs w:val="24"/>
              </w:rPr>
              <w:t xml:space="preserve">Закону </w:t>
            </w:r>
            <w:proofErr w:type="spellStart"/>
            <w:r w:rsidRPr="00C56765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C56765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proofErr w:type="spellEnd"/>
            <w:r w:rsidRPr="00C5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sz w:val="24"/>
                <w:szCs w:val="24"/>
              </w:rPr>
              <w:t>корупції</w:t>
            </w:r>
            <w:proofErr w:type="spellEnd"/>
            <w:r w:rsidRPr="00C567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6765" w:rsidRPr="00C56765" w:rsidRDefault="00C56765" w:rsidP="00C56765">
            <w:pPr>
              <w:tabs>
                <w:tab w:val="left" w:pos="129"/>
              </w:tabs>
              <w:spacing w:after="20"/>
              <w:ind w:left="135" w:right="120" w:firstLine="2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65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Pr="00C56765">
              <w:rPr>
                <w:rFonts w:ascii="Times New Roman" w:hAnsi="Times New Roman"/>
                <w:sz w:val="24"/>
                <w:szCs w:val="24"/>
              </w:rPr>
              <w:t>іншого</w:t>
            </w:r>
            <w:proofErr w:type="spellEnd"/>
            <w:r w:rsidRPr="00C5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C56765" w:rsidRPr="005038A8" w:rsidTr="004D5D03">
        <w:trPr>
          <w:trHeight w:val="75"/>
        </w:trPr>
        <w:tc>
          <w:tcPr>
            <w:tcW w:w="477" w:type="dxa"/>
          </w:tcPr>
          <w:p w:rsidR="00C56765" w:rsidRPr="005038A8" w:rsidRDefault="00C56765" w:rsidP="00C5676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6" w:type="dxa"/>
          </w:tcPr>
          <w:p w:rsidR="00C56765" w:rsidRPr="00C56765" w:rsidRDefault="00C56765" w:rsidP="00C56765">
            <w:pPr>
              <w:spacing w:after="20"/>
              <w:ind w:left="11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65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C56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C5676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56765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59" w:type="dxa"/>
          </w:tcPr>
          <w:p w:rsidR="00C56765" w:rsidRPr="00C56765" w:rsidRDefault="00C56765" w:rsidP="00C56765">
            <w:pPr>
              <w:ind w:left="133" w:right="120" w:firstLine="2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C56765" w:rsidRPr="00C56765" w:rsidRDefault="00943B70" w:rsidP="00C56765">
            <w:pPr>
              <w:ind w:left="133" w:right="120" w:firstLine="2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tooltip="Закон України " w:history="1">
              <w:r w:rsidR="00C56765" w:rsidRPr="00C56765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Закону </w:t>
              </w:r>
              <w:proofErr w:type="spellStart"/>
              <w:r w:rsidR="00C56765" w:rsidRPr="00C56765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України</w:t>
              </w:r>
              <w:proofErr w:type="spellEnd"/>
              <w:r w:rsidR="00C56765" w:rsidRPr="00C56765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«Про </w:t>
              </w:r>
              <w:proofErr w:type="spellStart"/>
              <w:r w:rsidR="00C56765" w:rsidRPr="00C56765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захист</w:t>
              </w:r>
              <w:proofErr w:type="spellEnd"/>
              <w:r w:rsidR="00C56765" w:rsidRPr="00C56765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C56765" w:rsidRPr="00C56765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персональних</w:t>
              </w:r>
              <w:proofErr w:type="spellEnd"/>
              <w:r w:rsidR="00C56765" w:rsidRPr="00C56765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C56765" w:rsidRPr="00C56765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даних</w:t>
              </w:r>
              <w:proofErr w:type="spellEnd"/>
              <w:r w:rsidR="00C56765" w:rsidRPr="00C56765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»</w:t>
              </w:r>
            </w:hyperlink>
            <w:r w:rsidR="00C56765"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56765" w:rsidRPr="00C56765" w:rsidRDefault="00C56765" w:rsidP="00C56765">
            <w:pPr>
              <w:ind w:left="133" w:right="120" w:firstLine="2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Закону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«Про доступ до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публічної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C56765" w:rsidRPr="00C56765" w:rsidRDefault="00C56765" w:rsidP="00C56765">
            <w:pPr>
              <w:ind w:left="133" w:right="120" w:firstLine="2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Закону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громадян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C56765" w:rsidRPr="00C56765" w:rsidRDefault="00C56765" w:rsidP="00C56765">
            <w:pPr>
              <w:ind w:left="133" w:right="120" w:firstLine="2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Закону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C56765" w:rsidRPr="00C56765" w:rsidRDefault="00943B70" w:rsidP="00C56765">
            <w:pPr>
              <w:ind w:left="133" w:right="120" w:firstLine="2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tgtFrame="_top" w:history="1">
              <w:r w:rsidR="00C56765" w:rsidRPr="00C56765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Закону </w:t>
              </w:r>
              <w:proofErr w:type="spellStart"/>
              <w:r w:rsidR="00C56765" w:rsidRPr="00C56765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України</w:t>
              </w:r>
              <w:proofErr w:type="spellEnd"/>
              <w:r w:rsidR="00C56765" w:rsidRPr="00C56765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«Про</w:t>
              </w:r>
            </w:hyperlink>
            <w:r w:rsidR="00C56765" w:rsidRPr="00C56765">
              <w:rPr>
                <w:rStyle w:val="ae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="00C56765" w:rsidRPr="00C56765">
              <w:rPr>
                <w:rStyle w:val="ae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освіту</w:t>
            </w:r>
            <w:proofErr w:type="spellEnd"/>
            <w:r w:rsidR="00C56765"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C56765" w:rsidRPr="00C56765" w:rsidRDefault="00C56765" w:rsidP="00C56765">
            <w:pPr>
              <w:ind w:left="130" w:right="120" w:firstLine="2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Закону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повну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загальну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середню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освіту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C56765" w:rsidRPr="00C56765" w:rsidRDefault="00C56765" w:rsidP="00C56765">
            <w:pPr>
              <w:ind w:left="130" w:right="120" w:firstLine="2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Закону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дошкільну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освіту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C56765" w:rsidRPr="00C56765" w:rsidRDefault="00C56765" w:rsidP="00C56765">
            <w:pPr>
              <w:ind w:left="130" w:right="120" w:firstLine="2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Закону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позашкільну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освіту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C56765" w:rsidRPr="00C56765" w:rsidRDefault="00C56765" w:rsidP="00C56765">
            <w:pPr>
              <w:ind w:left="130" w:right="120" w:firstLine="2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Закону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професійну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професійно-технічну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освіту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56765" w:rsidRPr="00C56765" w:rsidRDefault="00C56765" w:rsidP="00C56765">
            <w:pPr>
              <w:ind w:left="130" w:right="120" w:firstLine="2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Закону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основні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засади державного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нагляду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(контролю) у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сфері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господарської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C56765" w:rsidRPr="00C56765" w:rsidRDefault="00C56765" w:rsidP="00C56765">
            <w:pPr>
              <w:ind w:left="130" w:right="120" w:firstLine="2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Порядку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службового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розслідування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стосовно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уповноважених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функцій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держави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місцевого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самоврядування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та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цілей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Закону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“Про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запобігання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корупції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прирівнюються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уповноважених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функцій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держави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місцевого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самоврядування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затвердженого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червня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2000 р. № 950 (в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редакції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постанови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вересня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2017 р. № 691);</w:t>
            </w:r>
          </w:p>
          <w:p w:rsidR="00C56765" w:rsidRPr="00C56765" w:rsidRDefault="00C56765" w:rsidP="00C56765">
            <w:pPr>
              <w:ind w:left="130" w:right="120" w:firstLine="2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Типового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уповноважений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підрозділ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уповноважену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особу) з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запобігання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виявлення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корупції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затвердженого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наказом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Національного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агентства з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запобігання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корупції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17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року № 102/20;</w:t>
            </w:r>
          </w:p>
          <w:p w:rsidR="00C56765" w:rsidRPr="00C56765" w:rsidRDefault="00C56765" w:rsidP="00C56765">
            <w:pPr>
              <w:ind w:left="130" w:right="120" w:firstLine="2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Порядку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достовірності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заборон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частинами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третьою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четвертою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статті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Закону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“Про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очищення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”,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затвердженого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16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жовтня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2014 р. № 563;</w:t>
            </w:r>
          </w:p>
          <w:p w:rsidR="00C56765" w:rsidRPr="00C56765" w:rsidRDefault="00C56765" w:rsidP="00C56765">
            <w:pPr>
              <w:ind w:left="130" w:right="120" w:firstLine="2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Порядку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спеціальної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стосовно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претендують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зайняття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посад,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передбачають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зайняття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відповідального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особливо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відповідального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становища, та посад з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підвищеним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корупційним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ризиком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затвердженого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2015 р. № 171;</w:t>
            </w:r>
          </w:p>
          <w:p w:rsidR="00C56765" w:rsidRPr="00C56765" w:rsidRDefault="00C56765" w:rsidP="00C56765">
            <w:pPr>
              <w:ind w:left="130" w:right="120" w:firstLine="2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Порядку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інституційного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аудиту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закладів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загальної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середньої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затвердженого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наказом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Міністерства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науки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09.01.2019 № 17 (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зі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змінами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C56765" w:rsidRPr="00C56765" w:rsidRDefault="00C56765" w:rsidP="00C56765">
            <w:pPr>
              <w:ind w:left="130" w:right="120" w:firstLine="2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Порядку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позапланових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перевірок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закладів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загальної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середньої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затвердженого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наказом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Міністерства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науки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56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30.04.2021 № 493</w:t>
            </w:r>
          </w:p>
        </w:tc>
      </w:tr>
    </w:tbl>
    <w:p w:rsidR="00046F61" w:rsidRPr="005038A8" w:rsidRDefault="00046F61" w:rsidP="00046F61">
      <w:pPr>
        <w:pStyle w:val="1"/>
        <w:contextualSpacing/>
        <w:jc w:val="both"/>
        <w:rPr>
          <w:rFonts w:cs="Times New Roman"/>
          <w:color w:val="0070C0"/>
          <w:sz w:val="24"/>
          <w:szCs w:val="24"/>
          <w:lang w:val="uk-UA"/>
        </w:rPr>
      </w:pPr>
      <w:bookmarkStart w:id="1" w:name="n3"/>
      <w:bookmarkEnd w:id="1"/>
    </w:p>
    <w:p w:rsidR="00046F61" w:rsidRDefault="00046F61"/>
    <w:p w:rsidR="00AF28E7" w:rsidRDefault="00AF28E7"/>
    <w:p w:rsidR="00AF28E7" w:rsidRDefault="00AF28E7"/>
    <w:sectPr w:rsidR="00AF28E7" w:rsidSect="0086530C">
      <w:pgSz w:w="11906" w:h="16838"/>
      <w:pgMar w:top="850" w:right="707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E4C"/>
    <w:multiLevelType w:val="hybridMultilevel"/>
    <w:tmpl w:val="54B8887C"/>
    <w:lvl w:ilvl="0" w:tplc="5B8C6822">
      <w:start w:val="1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 w15:restartNumberingAfterBreak="0">
    <w:nsid w:val="019E2CD1"/>
    <w:multiLevelType w:val="hybridMultilevel"/>
    <w:tmpl w:val="3834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3" w15:restartNumberingAfterBreak="0">
    <w:nsid w:val="05B82275"/>
    <w:multiLevelType w:val="hybridMultilevel"/>
    <w:tmpl w:val="2CAC0E92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FA3"/>
    <w:multiLevelType w:val="hybridMultilevel"/>
    <w:tmpl w:val="0EAE7AF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97E3A38"/>
    <w:multiLevelType w:val="hybridMultilevel"/>
    <w:tmpl w:val="5D447CD0"/>
    <w:lvl w:ilvl="0" w:tplc="E96A1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45DE"/>
    <w:multiLevelType w:val="hybridMultilevel"/>
    <w:tmpl w:val="2018A6A8"/>
    <w:lvl w:ilvl="0" w:tplc="D892E2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B78728D"/>
    <w:multiLevelType w:val="hybridMultilevel"/>
    <w:tmpl w:val="ABC2C05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94376"/>
    <w:multiLevelType w:val="hybridMultilevel"/>
    <w:tmpl w:val="629ECC8C"/>
    <w:lvl w:ilvl="0" w:tplc="D13A19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1F6761E5"/>
    <w:multiLevelType w:val="hybridMultilevel"/>
    <w:tmpl w:val="CA9AEDD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21AE5519"/>
    <w:multiLevelType w:val="hybridMultilevel"/>
    <w:tmpl w:val="949EE6F0"/>
    <w:lvl w:ilvl="0" w:tplc="A5448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81262"/>
    <w:multiLevelType w:val="multilevel"/>
    <w:tmpl w:val="E93E6F94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2A0407D1"/>
    <w:multiLevelType w:val="hybridMultilevel"/>
    <w:tmpl w:val="2588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151B6"/>
    <w:multiLevelType w:val="hybridMultilevel"/>
    <w:tmpl w:val="02F0ED42"/>
    <w:lvl w:ilvl="0" w:tplc="5B8C6822">
      <w:start w:val="1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5" w15:restartNumberingAfterBreak="0">
    <w:nsid w:val="2FBF00A3"/>
    <w:multiLevelType w:val="hybridMultilevel"/>
    <w:tmpl w:val="513E3D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D4373"/>
    <w:multiLevelType w:val="hybridMultilevel"/>
    <w:tmpl w:val="B870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D13AF"/>
    <w:multiLevelType w:val="hybridMultilevel"/>
    <w:tmpl w:val="8A30DE00"/>
    <w:lvl w:ilvl="0" w:tplc="5B8C6822">
      <w:start w:val="1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9" w15:restartNumberingAfterBreak="0">
    <w:nsid w:val="3AC30ACF"/>
    <w:multiLevelType w:val="hybridMultilevel"/>
    <w:tmpl w:val="A3F44E2A"/>
    <w:lvl w:ilvl="0" w:tplc="5B8C6822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0" w15:restartNumberingAfterBreak="0">
    <w:nsid w:val="3C4017A3"/>
    <w:multiLevelType w:val="hybridMultilevel"/>
    <w:tmpl w:val="0E180724"/>
    <w:lvl w:ilvl="0" w:tplc="5B8C6822">
      <w:start w:val="1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1" w15:restartNumberingAfterBreak="0">
    <w:nsid w:val="3E685426"/>
    <w:multiLevelType w:val="hybridMultilevel"/>
    <w:tmpl w:val="2096A04A"/>
    <w:lvl w:ilvl="0" w:tplc="5B8C682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50289"/>
    <w:multiLevelType w:val="hybridMultilevel"/>
    <w:tmpl w:val="E22AF1D2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36C37"/>
    <w:multiLevelType w:val="hybridMultilevel"/>
    <w:tmpl w:val="9A506FE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0011F"/>
    <w:multiLevelType w:val="hybridMultilevel"/>
    <w:tmpl w:val="FA4A9752"/>
    <w:lvl w:ilvl="0" w:tplc="DA3CDC90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26C51"/>
    <w:multiLevelType w:val="hybridMultilevel"/>
    <w:tmpl w:val="23C477AA"/>
    <w:lvl w:ilvl="0" w:tplc="453C73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4933675F"/>
    <w:multiLevelType w:val="hybridMultilevel"/>
    <w:tmpl w:val="47EE0B64"/>
    <w:lvl w:ilvl="0" w:tplc="E77AC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70B8"/>
    <w:multiLevelType w:val="hybridMultilevel"/>
    <w:tmpl w:val="1EA628C0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82A2A"/>
    <w:multiLevelType w:val="hybridMultilevel"/>
    <w:tmpl w:val="6DFA8B6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B3D44"/>
    <w:multiLevelType w:val="hybridMultilevel"/>
    <w:tmpl w:val="3DD0A43A"/>
    <w:lvl w:ilvl="0" w:tplc="1B025D3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 w15:restartNumberingAfterBreak="0">
    <w:nsid w:val="576C194D"/>
    <w:multiLevelType w:val="hybridMultilevel"/>
    <w:tmpl w:val="0C825A68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A4F76"/>
    <w:multiLevelType w:val="hybridMultilevel"/>
    <w:tmpl w:val="089EDAB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D5B69"/>
    <w:multiLevelType w:val="hybridMultilevel"/>
    <w:tmpl w:val="15583F34"/>
    <w:lvl w:ilvl="0" w:tplc="B380D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B6A72"/>
    <w:multiLevelType w:val="hybridMultilevel"/>
    <w:tmpl w:val="C3B6BF6C"/>
    <w:lvl w:ilvl="0" w:tplc="AB0EE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6584B"/>
    <w:multiLevelType w:val="hybridMultilevel"/>
    <w:tmpl w:val="AEA80DCE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2904"/>
    <w:multiLevelType w:val="hybridMultilevel"/>
    <w:tmpl w:val="544A2A62"/>
    <w:lvl w:ilvl="0" w:tplc="5B8C6822">
      <w:start w:val="1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8" w15:restartNumberingAfterBreak="0">
    <w:nsid w:val="7314059C"/>
    <w:multiLevelType w:val="hybridMultilevel"/>
    <w:tmpl w:val="D0A83812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15A93"/>
    <w:multiLevelType w:val="hybridMultilevel"/>
    <w:tmpl w:val="FEB6353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7797C"/>
    <w:multiLevelType w:val="hybridMultilevel"/>
    <w:tmpl w:val="DAF8F240"/>
    <w:lvl w:ilvl="0" w:tplc="FDF2D1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0"/>
  </w:num>
  <w:num w:numId="4">
    <w:abstractNumId w:val="28"/>
  </w:num>
  <w:num w:numId="5">
    <w:abstractNumId w:val="9"/>
  </w:num>
  <w:num w:numId="6">
    <w:abstractNumId w:val="27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11"/>
  </w:num>
  <w:num w:numId="12">
    <w:abstractNumId w:val="16"/>
  </w:num>
  <w:num w:numId="13">
    <w:abstractNumId w:val="23"/>
  </w:num>
  <w:num w:numId="14">
    <w:abstractNumId w:val="39"/>
  </w:num>
  <w:num w:numId="15">
    <w:abstractNumId w:val="36"/>
  </w:num>
  <w:num w:numId="16">
    <w:abstractNumId w:val="4"/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5"/>
  </w:num>
  <w:num w:numId="20">
    <w:abstractNumId w:val="13"/>
  </w:num>
  <w:num w:numId="21">
    <w:abstractNumId w:val="35"/>
  </w:num>
  <w:num w:numId="22">
    <w:abstractNumId w:val="29"/>
  </w:num>
  <w:num w:numId="23">
    <w:abstractNumId w:val="5"/>
  </w:num>
  <w:num w:numId="24">
    <w:abstractNumId w:val="22"/>
  </w:num>
  <w:num w:numId="25">
    <w:abstractNumId w:val="10"/>
  </w:num>
  <w:num w:numId="26">
    <w:abstractNumId w:val="2"/>
  </w:num>
  <w:num w:numId="27">
    <w:abstractNumId w:val="3"/>
  </w:num>
  <w:num w:numId="28">
    <w:abstractNumId w:val="38"/>
  </w:num>
  <w:num w:numId="29">
    <w:abstractNumId w:val="15"/>
  </w:num>
  <w:num w:numId="30">
    <w:abstractNumId w:val="21"/>
  </w:num>
  <w:num w:numId="31">
    <w:abstractNumId w:val="30"/>
  </w:num>
  <w:num w:numId="32">
    <w:abstractNumId w:val="8"/>
  </w:num>
  <w:num w:numId="33">
    <w:abstractNumId w:val="19"/>
  </w:num>
  <w:num w:numId="34">
    <w:abstractNumId w:val="33"/>
  </w:num>
  <w:num w:numId="35">
    <w:abstractNumId w:val="1"/>
  </w:num>
  <w:num w:numId="36">
    <w:abstractNumId w:val="24"/>
  </w:num>
  <w:num w:numId="37">
    <w:abstractNumId w:val="37"/>
  </w:num>
  <w:num w:numId="38">
    <w:abstractNumId w:val="14"/>
  </w:num>
  <w:num w:numId="39">
    <w:abstractNumId w:val="18"/>
  </w:num>
  <w:num w:numId="40">
    <w:abstractNumId w:val="2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5"/>
    <w:rsid w:val="00011ADC"/>
    <w:rsid w:val="000142BB"/>
    <w:rsid w:val="000142F1"/>
    <w:rsid w:val="00046F61"/>
    <w:rsid w:val="00066C9F"/>
    <w:rsid w:val="00073916"/>
    <w:rsid w:val="00100EA8"/>
    <w:rsid w:val="0010222F"/>
    <w:rsid w:val="00133538"/>
    <w:rsid w:val="0015236A"/>
    <w:rsid w:val="0019198F"/>
    <w:rsid w:val="001D0E12"/>
    <w:rsid w:val="001D6E40"/>
    <w:rsid w:val="00212CD5"/>
    <w:rsid w:val="002C1B7E"/>
    <w:rsid w:val="00313605"/>
    <w:rsid w:val="003558E1"/>
    <w:rsid w:val="0039588E"/>
    <w:rsid w:val="003A334A"/>
    <w:rsid w:val="00407DA6"/>
    <w:rsid w:val="0041059B"/>
    <w:rsid w:val="00451DD0"/>
    <w:rsid w:val="00457AB0"/>
    <w:rsid w:val="0048179F"/>
    <w:rsid w:val="004A12C6"/>
    <w:rsid w:val="004D5D03"/>
    <w:rsid w:val="004E3706"/>
    <w:rsid w:val="005038A8"/>
    <w:rsid w:val="00582901"/>
    <w:rsid w:val="005C1DEF"/>
    <w:rsid w:val="00641448"/>
    <w:rsid w:val="0068100D"/>
    <w:rsid w:val="006907BA"/>
    <w:rsid w:val="00714592"/>
    <w:rsid w:val="00733FCB"/>
    <w:rsid w:val="007E066A"/>
    <w:rsid w:val="00807097"/>
    <w:rsid w:val="0086530C"/>
    <w:rsid w:val="00866ECE"/>
    <w:rsid w:val="008D263B"/>
    <w:rsid w:val="008E5B22"/>
    <w:rsid w:val="00916A30"/>
    <w:rsid w:val="009261CD"/>
    <w:rsid w:val="009302A1"/>
    <w:rsid w:val="00943B70"/>
    <w:rsid w:val="00990A4B"/>
    <w:rsid w:val="009B2339"/>
    <w:rsid w:val="009E746F"/>
    <w:rsid w:val="00A1189C"/>
    <w:rsid w:val="00A370C9"/>
    <w:rsid w:val="00AA0713"/>
    <w:rsid w:val="00AE6C1F"/>
    <w:rsid w:val="00AF28E7"/>
    <w:rsid w:val="00B548AB"/>
    <w:rsid w:val="00BA322D"/>
    <w:rsid w:val="00BC3C29"/>
    <w:rsid w:val="00C234B1"/>
    <w:rsid w:val="00C508E7"/>
    <w:rsid w:val="00C52650"/>
    <w:rsid w:val="00C56765"/>
    <w:rsid w:val="00C91040"/>
    <w:rsid w:val="00CF28F6"/>
    <w:rsid w:val="00D1228B"/>
    <w:rsid w:val="00D212D5"/>
    <w:rsid w:val="00D2419A"/>
    <w:rsid w:val="00D53B55"/>
    <w:rsid w:val="00D95E27"/>
    <w:rsid w:val="00DC7D5A"/>
    <w:rsid w:val="00DF72B0"/>
    <w:rsid w:val="00E12991"/>
    <w:rsid w:val="00E41FE0"/>
    <w:rsid w:val="00E4559D"/>
    <w:rsid w:val="00EA0169"/>
    <w:rsid w:val="00ED017D"/>
    <w:rsid w:val="00ED75E0"/>
    <w:rsid w:val="00F25243"/>
    <w:rsid w:val="00FC32AE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564D"/>
  <w15:docId w15:val="{838A5A2D-86DB-4207-854A-4CF5F085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Нормальний текст"/>
    <w:basedOn w:val="a"/>
    <w:rsid w:val="00D212D5"/>
    <w:pPr>
      <w:spacing w:before="120"/>
      <w:ind w:firstLine="567"/>
    </w:pPr>
  </w:style>
  <w:style w:type="paragraph" w:customStyle="1" w:styleId="a5">
    <w:name w:val="Назва документа"/>
    <w:basedOn w:val="a"/>
    <w:next w:val="a"/>
    <w:uiPriority w:val="99"/>
    <w:rsid w:val="0086530C"/>
    <w:pPr>
      <w:keepNext/>
      <w:keepLines/>
      <w:spacing w:before="240" w:after="240"/>
      <w:jc w:val="center"/>
    </w:pPr>
    <w:rPr>
      <w:b/>
    </w:rPr>
  </w:style>
  <w:style w:type="paragraph" w:styleId="a6">
    <w:name w:val="Body Text"/>
    <w:basedOn w:val="a"/>
    <w:link w:val="a7"/>
    <w:rsid w:val="00046F61"/>
    <w:pPr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046F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character" w:customStyle="1" w:styleId="rvts0">
    <w:name w:val="rvts0"/>
    <w:rsid w:val="00046F61"/>
  </w:style>
  <w:style w:type="paragraph" w:customStyle="1" w:styleId="rvps2">
    <w:name w:val="rvps2"/>
    <w:basedOn w:val="a"/>
    <w:qFormat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paragraph" w:customStyle="1" w:styleId="1">
    <w:name w:val="Без інтервалів1"/>
    <w:rsid w:val="00046F61"/>
    <w:pPr>
      <w:spacing w:after="0" w:line="240" w:lineRule="auto"/>
    </w:pPr>
    <w:rPr>
      <w:rFonts w:ascii="Times New Roman" w:eastAsia="Times New Roman" w:hAnsi="Times New Roman" w:cs="MingLiU_HKSCS"/>
      <w:sz w:val="28"/>
      <w:lang w:val="ru-RU"/>
    </w:rPr>
  </w:style>
  <w:style w:type="table" w:styleId="a8">
    <w:name w:val="Table Grid"/>
    <w:basedOn w:val="a1"/>
    <w:rsid w:val="00046F6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2C1B7E"/>
  </w:style>
  <w:style w:type="paragraph" w:customStyle="1" w:styleId="rvps17">
    <w:name w:val="rvps17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B548AB"/>
  </w:style>
  <w:style w:type="paragraph" w:customStyle="1" w:styleId="rvps6">
    <w:name w:val="rvps6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48AB"/>
  </w:style>
  <w:style w:type="paragraph" w:styleId="a9">
    <w:name w:val="Normal (Web)"/>
    <w:basedOn w:val="a"/>
    <w:link w:val="aa"/>
    <w:rsid w:val="00100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a">
    <w:name w:val="Обычный (веб) Знак"/>
    <w:link w:val="a9"/>
    <w:rsid w:val="0010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CF28F6"/>
    <w:rPr>
      <w:i/>
      <w:iCs/>
    </w:rPr>
  </w:style>
  <w:style w:type="character" w:customStyle="1" w:styleId="FontStyle17">
    <w:name w:val="Font Style17"/>
    <w:uiPriority w:val="99"/>
    <w:rsid w:val="00313605"/>
    <w:rPr>
      <w:rFonts w:ascii="Times New Roman" w:hAnsi="Times New Roman" w:cs="Times New Roman"/>
      <w:sz w:val="26"/>
      <w:szCs w:val="26"/>
    </w:rPr>
  </w:style>
  <w:style w:type="character" w:customStyle="1" w:styleId="st46">
    <w:name w:val="st46"/>
    <w:uiPriority w:val="99"/>
    <w:rsid w:val="00313605"/>
    <w:rPr>
      <w:i/>
      <w:i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02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22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E12991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E41FE0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0">
    <w:name w:val="Заголовок Знак"/>
    <w:basedOn w:val="a0"/>
    <w:link w:val="af"/>
    <w:uiPriority w:val="10"/>
    <w:rsid w:val="00E41FE0"/>
    <w:rPr>
      <w:rFonts w:ascii="Calibri" w:eastAsia="Calibri" w:hAnsi="Calibri" w:cs="Calibri"/>
      <w:b/>
      <w:sz w:val="72"/>
      <w:szCs w:val="72"/>
      <w:lang w:eastAsia="ru-RU"/>
    </w:rPr>
  </w:style>
  <w:style w:type="table" w:customStyle="1" w:styleId="TableNormal">
    <w:name w:val="Table Normal"/>
    <w:rsid w:val="00FC32AE"/>
    <w:pPr>
      <w:spacing w:after="160" w:line="259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08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T030851?ed=2018_11_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sgrm.ua/posibnyky-video/zakony-pro-arhivy/zakon-ukrayiny-pro-zahyst-personalnyh-danyh-vid-01-07-20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13590-0D1E-415D-9812-2C98E4BA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Anastasia</cp:lastModifiedBy>
  <cp:revision>33</cp:revision>
  <cp:lastPrinted>2021-06-15T08:35:00Z</cp:lastPrinted>
  <dcterms:created xsi:type="dcterms:W3CDTF">2021-04-16T08:28:00Z</dcterms:created>
  <dcterms:modified xsi:type="dcterms:W3CDTF">2021-09-27T11:13:00Z</dcterms:modified>
</cp:coreProperties>
</file>