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EC" w:rsidRPr="00500581" w:rsidRDefault="00500581" w:rsidP="003D4CD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581">
        <w:rPr>
          <w:rStyle w:val="a6"/>
          <w:sz w:val="28"/>
          <w:szCs w:val="28"/>
        </w:rPr>
        <w:t>ЗВІТ</w:t>
      </w:r>
    </w:p>
    <w:p w:rsidR="00765EEC" w:rsidRPr="00500581" w:rsidRDefault="00765EEC" w:rsidP="003D4CD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581">
        <w:rPr>
          <w:rStyle w:val="a6"/>
          <w:sz w:val="28"/>
          <w:szCs w:val="28"/>
        </w:rPr>
        <w:t xml:space="preserve">про </w:t>
      </w:r>
      <w:proofErr w:type="spellStart"/>
      <w:r w:rsidRPr="00500581">
        <w:rPr>
          <w:rStyle w:val="a6"/>
          <w:sz w:val="28"/>
          <w:szCs w:val="28"/>
        </w:rPr>
        <w:t>виконання</w:t>
      </w:r>
      <w:proofErr w:type="spellEnd"/>
      <w:r w:rsidRPr="00500581">
        <w:rPr>
          <w:rStyle w:val="a6"/>
          <w:sz w:val="28"/>
          <w:szCs w:val="28"/>
        </w:rPr>
        <w:t xml:space="preserve"> </w:t>
      </w:r>
      <w:proofErr w:type="spellStart"/>
      <w:r w:rsidRPr="00500581">
        <w:rPr>
          <w:rStyle w:val="a6"/>
          <w:sz w:val="28"/>
          <w:szCs w:val="28"/>
        </w:rPr>
        <w:t>річного</w:t>
      </w:r>
      <w:proofErr w:type="spellEnd"/>
      <w:r w:rsidRPr="00500581">
        <w:rPr>
          <w:rStyle w:val="a6"/>
          <w:sz w:val="28"/>
          <w:szCs w:val="28"/>
        </w:rPr>
        <w:t xml:space="preserve"> плану </w:t>
      </w:r>
      <w:proofErr w:type="spellStart"/>
      <w:r w:rsidRPr="00500581">
        <w:rPr>
          <w:rStyle w:val="a6"/>
          <w:sz w:val="28"/>
          <w:szCs w:val="28"/>
        </w:rPr>
        <w:t>заходів</w:t>
      </w:r>
      <w:proofErr w:type="spellEnd"/>
      <w:r w:rsidRPr="00500581">
        <w:rPr>
          <w:rStyle w:val="a6"/>
          <w:sz w:val="28"/>
          <w:szCs w:val="28"/>
        </w:rPr>
        <w:t xml:space="preserve"> державного </w:t>
      </w:r>
      <w:proofErr w:type="spellStart"/>
      <w:r w:rsidRPr="00500581">
        <w:rPr>
          <w:rStyle w:val="a6"/>
          <w:sz w:val="28"/>
          <w:szCs w:val="28"/>
        </w:rPr>
        <w:t>нагляду</w:t>
      </w:r>
      <w:proofErr w:type="spellEnd"/>
      <w:r w:rsidRPr="00500581">
        <w:rPr>
          <w:rStyle w:val="a6"/>
          <w:sz w:val="28"/>
          <w:szCs w:val="28"/>
        </w:rPr>
        <w:t xml:space="preserve"> (контролю)</w:t>
      </w:r>
    </w:p>
    <w:p w:rsidR="00765EEC" w:rsidRPr="00500581" w:rsidRDefault="00500581" w:rsidP="003D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581">
        <w:rPr>
          <w:rFonts w:ascii="Times New Roman" w:hAnsi="Times New Roman"/>
          <w:b/>
          <w:sz w:val="28"/>
          <w:szCs w:val="28"/>
        </w:rPr>
        <w:t xml:space="preserve">Державною службою </w:t>
      </w:r>
      <w:proofErr w:type="spellStart"/>
      <w:r w:rsidRPr="00500581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5005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5005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5EEC" w:rsidRPr="00500581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="00765EEC" w:rsidRPr="00500581">
        <w:rPr>
          <w:rFonts w:ascii="Times New Roman" w:hAnsi="Times New Roman"/>
          <w:b/>
          <w:sz w:val="28"/>
          <w:szCs w:val="28"/>
        </w:rPr>
        <w:t xml:space="preserve"> за 201</w:t>
      </w:r>
      <w:r w:rsidR="005431A1">
        <w:rPr>
          <w:rFonts w:ascii="Times New Roman" w:hAnsi="Times New Roman"/>
          <w:b/>
          <w:sz w:val="28"/>
          <w:szCs w:val="28"/>
          <w:lang w:val="uk-UA"/>
        </w:rPr>
        <w:t>9</w:t>
      </w:r>
      <w:r w:rsidR="00765EEC" w:rsidRPr="005005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5EEC" w:rsidRPr="00500581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765EEC" w:rsidRPr="00500581" w:rsidRDefault="00765EEC" w:rsidP="003D4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0581" w:rsidRDefault="00765EEC" w:rsidP="0050058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0581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 w:rsidRPr="00500581">
        <w:rPr>
          <w:rFonts w:ascii="Times New Roman" w:hAnsi="Times New Roman"/>
          <w:sz w:val="28"/>
          <w:szCs w:val="28"/>
        </w:rPr>
        <w:t>якості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освіти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України</w:t>
      </w:r>
      <w:proofErr w:type="spellEnd"/>
      <w:r w:rsidR="009459B4">
        <w:rPr>
          <w:rFonts w:ascii="Times New Roman" w:hAnsi="Times New Roman"/>
          <w:sz w:val="28"/>
          <w:szCs w:val="28"/>
          <w:lang w:val="uk-UA"/>
        </w:rPr>
        <w:t xml:space="preserve"> (далі – Служба)</w:t>
      </w:r>
      <w:r w:rsidRPr="00500581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500581">
        <w:rPr>
          <w:rFonts w:ascii="Times New Roman" w:hAnsi="Times New Roman"/>
          <w:sz w:val="28"/>
          <w:szCs w:val="28"/>
        </w:rPr>
        <w:t>реалізацій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вимог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частини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3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статті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5 Закону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України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9459B4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>«</w:t>
      </w:r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Про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основні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засади державного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нагляду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(контролю) у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сфері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господарської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діяльності</w:t>
      </w:r>
      <w:proofErr w:type="spellEnd"/>
      <w:r w:rsidR="009459B4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="005D7DCB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від</w:t>
      </w:r>
      <w:proofErr w:type="spellEnd"/>
      <w:r w:rsidR="005D7DCB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05.04.2007 №877-V</w:t>
      </w:r>
      <w:r w:rsidR="005D7DCB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щодо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до 1 </w:t>
      </w:r>
      <w:proofErr w:type="spellStart"/>
      <w:r w:rsidRPr="00500581">
        <w:rPr>
          <w:rFonts w:ascii="Times New Roman" w:hAnsi="Times New Roman"/>
          <w:sz w:val="28"/>
          <w:szCs w:val="28"/>
        </w:rPr>
        <w:t>квітня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звітів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0058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річних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планів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500581">
        <w:rPr>
          <w:rFonts w:ascii="Times New Roman" w:hAnsi="Times New Roman"/>
          <w:sz w:val="28"/>
          <w:szCs w:val="28"/>
        </w:rPr>
        <w:t>нагляду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(контролю) за </w:t>
      </w:r>
      <w:proofErr w:type="spellStart"/>
      <w:r w:rsidRPr="00500581">
        <w:rPr>
          <w:rFonts w:ascii="Times New Roman" w:hAnsi="Times New Roman"/>
          <w:sz w:val="28"/>
          <w:szCs w:val="28"/>
        </w:rPr>
        <w:t>попередній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рік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00581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00581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00581">
        <w:rPr>
          <w:rFonts w:ascii="Times New Roman" w:hAnsi="Times New Roman"/>
          <w:sz w:val="28"/>
          <w:szCs w:val="28"/>
        </w:rPr>
        <w:t>комплексних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500581">
        <w:rPr>
          <w:rFonts w:ascii="Times New Roman" w:hAnsi="Times New Roman"/>
          <w:sz w:val="28"/>
          <w:szCs w:val="28"/>
        </w:rPr>
        <w:t>нагляду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(контролю) </w:t>
      </w:r>
      <w:proofErr w:type="spellStart"/>
      <w:r w:rsidRPr="00500581">
        <w:rPr>
          <w:rFonts w:ascii="Times New Roman" w:hAnsi="Times New Roman"/>
          <w:sz w:val="28"/>
          <w:szCs w:val="28"/>
        </w:rPr>
        <w:t>повідомляє</w:t>
      </w:r>
      <w:proofErr w:type="spellEnd"/>
      <w:r w:rsidRPr="00500581">
        <w:rPr>
          <w:rFonts w:ascii="Times New Roman" w:hAnsi="Times New Roman"/>
          <w:sz w:val="28"/>
          <w:szCs w:val="28"/>
        </w:rPr>
        <w:t>.</w:t>
      </w:r>
    </w:p>
    <w:p w:rsidR="00765EEC" w:rsidRPr="009459B4" w:rsidRDefault="005431A1" w:rsidP="005431A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31A1">
        <w:rPr>
          <w:rFonts w:ascii="Times New Roman" w:hAnsi="Times New Roman"/>
          <w:sz w:val="28"/>
          <w:szCs w:val="28"/>
        </w:rPr>
        <w:t xml:space="preserve">Державною службою </w:t>
      </w:r>
      <w:proofErr w:type="spellStart"/>
      <w:r w:rsidRPr="005431A1">
        <w:rPr>
          <w:rFonts w:ascii="Times New Roman" w:hAnsi="Times New Roman"/>
          <w:sz w:val="28"/>
          <w:szCs w:val="28"/>
        </w:rPr>
        <w:t>якості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1A1">
        <w:rPr>
          <w:rFonts w:ascii="Times New Roman" w:hAnsi="Times New Roman"/>
          <w:sz w:val="28"/>
          <w:szCs w:val="28"/>
        </w:rPr>
        <w:t>освіти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1A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1A1">
        <w:rPr>
          <w:rFonts w:ascii="Times New Roman" w:hAnsi="Times New Roman"/>
          <w:sz w:val="28"/>
          <w:szCs w:val="28"/>
        </w:rPr>
        <w:t>згідно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431A1">
        <w:rPr>
          <w:rFonts w:ascii="Times New Roman" w:hAnsi="Times New Roman"/>
          <w:sz w:val="28"/>
          <w:szCs w:val="28"/>
        </w:rPr>
        <w:t>Річним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планом </w:t>
      </w:r>
      <w:proofErr w:type="spellStart"/>
      <w:r w:rsidRPr="005431A1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1A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5431A1">
        <w:rPr>
          <w:rFonts w:ascii="Times New Roman" w:hAnsi="Times New Roman"/>
          <w:sz w:val="28"/>
          <w:szCs w:val="28"/>
        </w:rPr>
        <w:t>нагляду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(контролю) на 2019 </w:t>
      </w:r>
      <w:proofErr w:type="spellStart"/>
      <w:r w:rsidRPr="005431A1">
        <w:rPr>
          <w:rFonts w:ascii="Times New Roman" w:hAnsi="Times New Roman"/>
          <w:sz w:val="28"/>
          <w:szCs w:val="28"/>
        </w:rPr>
        <w:t>рік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1A1">
        <w:rPr>
          <w:rFonts w:ascii="Times New Roman" w:hAnsi="Times New Roman"/>
          <w:sz w:val="28"/>
          <w:szCs w:val="28"/>
        </w:rPr>
        <w:t>затвердженим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5431A1">
        <w:rPr>
          <w:rFonts w:ascii="Times New Roman" w:hAnsi="Times New Roman"/>
          <w:sz w:val="28"/>
          <w:szCs w:val="28"/>
        </w:rPr>
        <w:t>від</w:t>
      </w:r>
      <w:proofErr w:type="spellEnd"/>
      <w:r w:rsidRPr="005431A1">
        <w:rPr>
          <w:rFonts w:ascii="Times New Roman" w:hAnsi="Times New Roman"/>
          <w:sz w:val="28"/>
          <w:szCs w:val="28"/>
        </w:rPr>
        <w:t xml:space="preserve"> 27.11.2018 № 01-11/38,</w:t>
      </w:r>
      <w:r w:rsidR="00500581" w:rsidRPr="009459B4">
        <w:rPr>
          <w:rFonts w:ascii="Times New Roman" w:hAnsi="Times New Roman"/>
          <w:sz w:val="28"/>
          <w:szCs w:val="28"/>
          <w:lang w:val="uk-UA"/>
        </w:rPr>
        <w:t xml:space="preserve"> було заплановано проведення перевірок </w:t>
      </w:r>
      <w:r w:rsidR="009459B4">
        <w:rPr>
          <w:rFonts w:ascii="Times New Roman" w:hAnsi="Times New Roman"/>
          <w:sz w:val="28"/>
          <w:szCs w:val="28"/>
          <w:lang w:val="uk-UA"/>
        </w:rPr>
        <w:br/>
      </w:r>
      <w:r w:rsidR="00500581" w:rsidRPr="009459B4">
        <w:rPr>
          <w:rFonts w:ascii="Times New Roman" w:hAnsi="Times New Roman"/>
          <w:sz w:val="28"/>
          <w:szCs w:val="28"/>
          <w:lang w:val="uk-UA"/>
        </w:rPr>
        <w:t>щодо додержання</w:t>
      </w:r>
      <w:r w:rsidR="009459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581" w:rsidRPr="009459B4">
        <w:rPr>
          <w:rFonts w:ascii="Times New Roman" w:hAnsi="Times New Roman"/>
          <w:sz w:val="28"/>
          <w:szCs w:val="28"/>
          <w:lang w:val="uk-UA"/>
        </w:rPr>
        <w:t xml:space="preserve">законодавства у сферах дошкільної освіти, </w:t>
      </w:r>
      <w:r>
        <w:rPr>
          <w:rFonts w:ascii="Times New Roman" w:hAnsi="Times New Roman"/>
          <w:sz w:val="28"/>
          <w:szCs w:val="28"/>
          <w:lang w:val="uk-UA"/>
        </w:rPr>
        <w:t>позашкіль</w:t>
      </w:r>
      <w:r w:rsidR="00500581" w:rsidRPr="009459B4">
        <w:rPr>
          <w:rFonts w:ascii="Times New Roman" w:hAnsi="Times New Roman"/>
          <w:sz w:val="28"/>
          <w:szCs w:val="28"/>
          <w:lang w:val="uk-UA"/>
        </w:rPr>
        <w:t xml:space="preserve">ної освіти, професійно-технічної освіти та вищої освіти у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500581" w:rsidRPr="009459B4">
        <w:rPr>
          <w:rFonts w:ascii="Times New Roman" w:hAnsi="Times New Roman"/>
          <w:sz w:val="28"/>
          <w:szCs w:val="28"/>
          <w:lang w:val="uk-UA"/>
        </w:rPr>
        <w:t>1 суб’єкт</w:t>
      </w:r>
      <w:r w:rsidR="001165D6">
        <w:rPr>
          <w:rFonts w:ascii="Times New Roman" w:hAnsi="Times New Roman"/>
          <w:sz w:val="28"/>
          <w:szCs w:val="28"/>
          <w:lang w:val="uk-UA"/>
        </w:rPr>
        <w:t>і</w:t>
      </w:r>
      <w:r w:rsidR="00500581" w:rsidRPr="009459B4">
        <w:rPr>
          <w:rFonts w:ascii="Times New Roman" w:hAnsi="Times New Roman"/>
          <w:sz w:val="28"/>
          <w:szCs w:val="28"/>
          <w:lang w:val="uk-UA"/>
        </w:rPr>
        <w:t xml:space="preserve"> господарювання.</w:t>
      </w:r>
    </w:p>
    <w:p w:rsidR="00765EEC" w:rsidRDefault="005431A1" w:rsidP="0050058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Зважаючи на п</w:t>
      </w:r>
      <w:r w:rsidRPr="005431A1">
        <w:rPr>
          <w:rFonts w:ascii="Times New Roman" w:hAnsi="Times New Roman"/>
          <w:sz w:val="28"/>
          <w:szCs w:val="28"/>
          <w:lang w:val="uk-UA"/>
        </w:rPr>
        <w:t>равові та організаційні засади, основні принципи і порядок здійснення державного нагляду (контролю) у сфері господарської діяльності, повноваження органів державного нагляду (контролю), їх посадових осіб і права, обов’язки та відповідальність суб’єктів господарювання під час здійсненн</w:t>
      </w:r>
      <w:r w:rsidR="005D7DCB">
        <w:rPr>
          <w:rFonts w:ascii="Times New Roman" w:hAnsi="Times New Roman"/>
          <w:sz w:val="28"/>
          <w:szCs w:val="28"/>
          <w:lang w:val="uk-UA"/>
        </w:rPr>
        <w:t>я державного нагляду (контролю), а також в</w:t>
      </w:r>
      <w:r w:rsidR="00765EEC" w:rsidRPr="005D7DCB">
        <w:rPr>
          <w:rFonts w:ascii="Times New Roman" w:hAnsi="Times New Roman"/>
          <w:sz w:val="28"/>
          <w:szCs w:val="28"/>
          <w:lang w:val="uk-UA"/>
        </w:rPr>
        <w:t xml:space="preserve">раховуючи вимоги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частини п’ятнадцятої статті 4 </w:t>
      </w:r>
      <w:r w:rsidR="005D7DCB" w:rsidRPr="005D7DCB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5D7DCB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>«</w:t>
      </w:r>
      <w:r w:rsidR="005D7DCB" w:rsidRPr="005D7DCB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>Про основні засади державного нагляду (контролю) у сфері господарської діяльності</w:t>
      </w:r>
      <w:r w:rsidR="005D7DCB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 xml:space="preserve">» </w:t>
      </w:r>
      <w:r w:rsidR="005D7DCB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>щодо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 здійсненн</w:t>
      </w:r>
      <w:r w:rsidR="005D7DCB">
        <w:rPr>
          <w:rFonts w:ascii="Times New Roman" w:hAnsi="Times New Roman"/>
          <w:sz w:val="28"/>
          <w:szCs w:val="28"/>
          <w:lang w:val="uk-UA"/>
        </w:rPr>
        <w:t>я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 заходів державного нагляду (контролю) </w:t>
      </w:r>
      <w:r w:rsidR="005D7DCB">
        <w:rPr>
          <w:rFonts w:ascii="Times New Roman" w:hAnsi="Times New Roman"/>
          <w:sz w:val="28"/>
          <w:szCs w:val="28"/>
          <w:lang w:val="uk-UA"/>
        </w:rPr>
        <w:t>з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 використ</w:t>
      </w:r>
      <w:r w:rsidR="005D7DCB">
        <w:rPr>
          <w:rFonts w:ascii="Times New Roman" w:hAnsi="Times New Roman"/>
          <w:sz w:val="28"/>
          <w:szCs w:val="28"/>
          <w:lang w:val="uk-UA"/>
        </w:rPr>
        <w:t>анням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 виключно уніфікован</w:t>
      </w:r>
      <w:r w:rsidR="005D7DCB">
        <w:rPr>
          <w:rFonts w:ascii="Times New Roman" w:hAnsi="Times New Roman"/>
          <w:sz w:val="28"/>
          <w:szCs w:val="28"/>
          <w:lang w:val="uk-UA"/>
        </w:rPr>
        <w:t>их форм актів</w:t>
      </w:r>
      <w:r w:rsidR="00500581">
        <w:rPr>
          <w:rFonts w:ascii="Times New Roman" w:hAnsi="Times New Roman"/>
          <w:sz w:val="28"/>
          <w:szCs w:val="28"/>
          <w:lang w:val="uk-UA"/>
        </w:rPr>
        <w:t>,</w:t>
      </w:r>
      <w:r w:rsidR="00765EEC" w:rsidRPr="005D7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затверджуються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та оприлюднюються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>органом державного нагляду (контролю)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 відповідно до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>Методик</w:t>
      </w:r>
      <w:r w:rsidR="005D7DCB">
        <w:rPr>
          <w:rFonts w:ascii="Times New Roman" w:hAnsi="Times New Roman"/>
          <w:sz w:val="28"/>
          <w:szCs w:val="28"/>
          <w:lang w:val="uk-UA"/>
        </w:rPr>
        <w:t>и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 розроблення уніфікованих форм актів, що складаються за результатами проведення планових (позапланових) заходів державного нагляду (контролю), затверджен</w:t>
      </w:r>
      <w:r w:rsidR="005D7DCB">
        <w:rPr>
          <w:rFonts w:ascii="Times New Roman" w:hAnsi="Times New Roman"/>
          <w:sz w:val="28"/>
          <w:szCs w:val="28"/>
          <w:lang w:val="uk-UA"/>
        </w:rPr>
        <w:t>ої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10.05.2018 № 342</w:t>
      </w:r>
      <w:r w:rsidR="005D7DCB">
        <w:rPr>
          <w:rFonts w:ascii="Times New Roman" w:hAnsi="Times New Roman"/>
          <w:sz w:val="28"/>
          <w:szCs w:val="28"/>
          <w:lang w:val="uk-UA"/>
        </w:rPr>
        <w:t>,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AB4">
        <w:rPr>
          <w:rFonts w:ascii="Times New Roman" w:hAnsi="Times New Roman"/>
          <w:sz w:val="28"/>
          <w:szCs w:val="28"/>
          <w:lang w:val="uk-UA"/>
        </w:rPr>
        <w:t>Службою</w:t>
      </w:r>
      <w:r w:rsidR="001165D6" w:rsidRPr="005D7DCB">
        <w:rPr>
          <w:rFonts w:ascii="Times New Roman" w:hAnsi="Times New Roman"/>
          <w:sz w:val="28"/>
          <w:szCs w:val="28"/>
          <w:lang w:val="uk-UA"/>
        </w:rPr>
        <w:t xml:space="preserve"> у 201</w:t>
      </w:r>
      <w:r w:rsidR="005D7DCB">
        <w:rPr>
          <w:rFonts w:ascii="Times New Roman" w:hAnsi="Times New Roman"/>
          <w:sz w:val="28"/>
          <w:szCs w:val="28"/>
          <w:lang w:val="uk-UA"/>
        </w:rPr>
        <w:t>9</w:t>
      </w:r>
      <w:r w:rsidR="001165D6" w:rsidRPr="005D7DCB">
        <w:rPr>
          <w:rFonts w:ascii="Times New Roman" w:hAnsi="Times New Roman"/>
          <w:sz w:val="28"/>
          <w:szCs w:val="28"/>
          <w:lang w:val="uk-UA"/>
        </w:rPr>
        <w:t xml:space="preserve"> році не 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1165D6">
        <w:rPr>
          <w:rFonts w:ascii="Times New Roman" w:hAnsi="Times New Roman"/>
          <w:sz w:val="28"/>
          <w:szCs w:val="28"/>
          <w:lang w:val="uk-UA"/>
        </w:rPr>
        <w:t>пров</w:t>
      </w:r>
      <w:r w:rsidR="005D7DCB">
        <w:rPr>
          <w:rFonts w:ascii="Times New Roman" w:hAnsi="Times New Roman"/>
          <w:sz w:val="28"/>
          <w:szCs w:val="28"/>
          <w:lang w:val="uk-UA"/>
        </w:rPr>
        <w:t>едено</w:t>
      </w:r>
      <w:r w:rsidR="00AA531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D7DCB"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>планов</w:t>
      </w:r>
      <w:r w:rsidR="005D7DCB">
        <w:rPr>
          <w:rFonts w:ascii="Times New Roman" w:hAnsi="Times New Roman"/>
          <w:sz w:val="28"/>
          <w:szCs w:val="28"/>
          <w:lang w:val="uk-UA"/>
        </w:rPr>
        <w:t>их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 заход</w:t>
      </w:r>
      <w:r w:rsidR="005D7DCB">
        <w:rPr>
          <w:rFonts w:ascii="Times New Roman" w:hAnsi="Times New Roman"/>
          <w:sz w:val="28"/>
          <w:szCs w:val="28"/>
          <w:lang w:val="uk-UA"/>
        </w:rPr>
        <w:t>ів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 (2 </w:t>
      </w:r>
      <w:r w:rsidR="003D4CDC">
        <w:rPr>
          <w:rFonts w:ascii="Times New Roman" w:hAnsi="Times New Roman"/>
          <w:sz w:val="28"/>
          <w:szCs w:val="28"/>
          <w:lang w:val="uk-UA"/>
        </w:rPr>
        <w:t>–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>у сфері дошкільної освіти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, 1 </w:t>
      </w:r>
      <w:r w:rsidR="003D4CDC">
        <w:rPr>
          <w:rFonts w:ascii="Times New Roman" w:hAnsi="Times New Roman"/>
          <w:sz w:val="28"/>
          <w:szCs w:val="28"/>
          <w:lang w:val="uk-UA"/>
        </w:rPr>
        <w:t>–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 xml:space="preserve">у сфері </w:t>
      </w:r>
      <w:r w:rsidR="005D7DCB">
        <w:rPr>
          <w:rFonts w:ascii="Times New Roman" w:hAnsi="Times New Roman"/>
          <w:sz w:val="28"/>
          <w:szCs w:val="28"/>
          <w:lang w:val="uk-UA"/>
        </w:rPr>
        <w:t>поза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>шкільної освіти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, 5 – </w:t>
      </w:r>
      <w:r w:rsidR="005D7DCB" w:rsidRPr="005D7DCB">
        <w:rPr>
          <w:rFonts w:ascii="Times New Roman" w:hAnsi="Times New Roman"/>
          <w:sz w:val="28"/>
          <w:szCs w:val="28"/>
          <w:lang w:val="uk-UA"/>
        </w:rPr>
        <w:t>у сфері професійно-технічної освіти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D7DCB">
        <w:rPr>
          <w:rFonts w:ascii="Times New Roman" w:hAnsi="Times New Roman"/>
          <w:sz w:val="28"/>
          <w:szCs w:val="28"/>
          <w:lang w:val="uk-UA"/>
        </w:rPr>
        <w:t xml:space="preserve">2 – у </w:t>
      </w:r>
      <w:r w:rsidR="005D7DCB">
        <w:rPr>
          <w:rFonts w:ascii="Times New Roman" w:hAnsi="Times New Roman"/>
          <w:sz w:val="28"/>
          <w:szCs w:val="28"/>
          <w:lang w:val="uk-UA"/>
        </w:rPr>
        <w:t>сфері вищої освіти</w:t>
      </w:r>
      <w:r w:rsidR="005D7DCB">
        <w:rPr>
          <w:rFonts w:ascii="Times New Roman" w:hAnsi="Times New Roman"/>
          <w:sz w:val="28"/>
          <w:szCs w:val="28"/>
          <w:lang w:val="uk-UA"/>
        </w:rPr>
        <w:t>)</w:t>
      </w:r>
      <w:r w:rsidR="00765EEC" w:rsidRPr="005D7DCB">
        <w:rPr>
          <w:rFonts w:ascii="Times New Roman" w:hAnsi="Times New Roman"/>
          <w:sz w:val="28"/>
          <w:szCs w:val="28"/>
          <w:lang w:val="uk-UA"/>
        </w:rPr>
        <w:t>.</w:t>
      </w:r>
    </w:p>
    <w:p w:rsidR="00F8476E" w:rsidRPr="00F8476E" w:rsidRDefault="009459B4" w:rsidP="003D4CDC">
      <w:pPr>
        <w:ind w:firstLine="567"/>
        <w:jc w:val="both"/>
        <w:rPr>
          <w:rFonts w:ascii="Times New Roman" w:eastAsia="Times New Roman" w:hAnsi="Times New Roman"/>
          <w:b/>
          <w:bCs/>
          <w:spacing w:val="-15"/>
          <w:kern w:val="36"/>
          <w:sz w:val="40"/>
          <w:szCs w:val="40"/>
          <w:lang w:val="uk-UA" w:eastAsia="ru-RU"/>
        </w:rPr>
      </w:pPr>
      <w:r w:rsidRPr="00FB4AB4"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з тим, </w:t>
      </w:r>
      <w:r w:rsidR="001165D6">
        <w:rPr>
          <w:rFonts w:ascii="Times New Roman" w:hAnsi="Times New Roman"/>
          <w:sz w:val="28"/>
          <w:szCs w:val="28"/>
          <w:lang w:val="uk-UA"/>
        </w:rPr>
        <w:t>упродовж</w:t>
      </w:r>
      <w:r w:rsidR="00FB4AB4" w:rsidRPr="00FB4AB4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431A1">
        <w:rPr>
          <w:rFonts w:ascii="Times New Roman" w:hAnsi="Times New Roman"/>
          <w:sz w:val="28"/>
          <w:szCs w:val="28"/>
          <w:lang w:val="uk-UA"/>
        </w:rPr>
        <w:t>9</w:t>
      </w:r>
      <w:r w:rsidR="00FB4AB4" w:rsidRPr="00FB4AB4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FB4AB4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здійснено </w:t>
      </w:r>
      <w:r w:rsidR="005431A1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FB4AB4">
        <w:rPr>
          <w:rFonts w:ascii="Times New Roman" w:hAnsi="Times New Roman"/>
          <w:color w:val="000000"/>
          <w:sz w:val="28"/>
          <w:szCs w:val="28"/>
          <w:lang w:val="uk-UA"/>
        </w:rPr>
        <w:t>6 позапланових заходів державного нагляду (контролю)</w:t>
      </w:r>
      <w:r w:rsidR="000A172F">
        <w:rPr>
          <w:rFonts w:ascii="Times New Roman" w:hAnsi="Times New Roman"/>
          <w:color w:val="000000"/>
          <w:sz w:val="28"/>
          <w:szCs w:val="28"/>
          <w:lang w:val="uk-UA"/>
        </w:rPr>
        <w:t>, в</w:t>
      </w:r>
      <w:r w:rsidR="00FB4AB4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ідомості щодо</w:t>
      </w:r>
      <w:r w:rsidR="00FB4AB4" w:rsidRPr="00FB4AB4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 </w:t>
      </w:r>
      <w:r w:rsidR="000A172F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яких</w:t>
      </w:r>
      <w:r w:rsidR="00FB4AB4" w:rsidRPr="00FB4AB4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FB4AB4" w:rsidRPr="00FB4AB4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своєчасно та у повному обсязі </w:t>
      </w:r>
      <w:proofErr w:type="spellStart"/>
      <w:r w:rsidR="00FB4AB4" w:rsidRPr="00FB4AB4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внесен</w:t>
      </w:r>
      <w:r w:rsidR="00FB4AB4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>о</w:t>
      </w:r>
      <w:proofErr w:type="spellEnd"/>
      <w:r w:rsidR="00FB4AB4" w:rsidRPr="00FB4AB4">
        <w:rPr>
          <w:rFonts w:ascii="Times New Roman" w:hAnsi="Times New Roman"/>
          <w:spacing w:val="-2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пілотн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модул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планування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збору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інформації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Інтегрованої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автоматизованиї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державного </w:t>
      </w:r>
      <w:proofErr w:type="spellStart"/>
      <w:r w:rsidR="00FB4AB4" w:rsidRPr="00FB4AB4">
        <w:rPr>
          <w:rFonts w:ascii="Times New Roman" w:hAnsi="Times New Roman"/>
          <w:color w:val="000000"/>
          <w:sz w:val="28"/>
          <w:szCs w:val="28"/>
        </w:rPr>
        <w:t>нагляду</w:t>
      </w:r>
      <w:proofErr w:type="spellEnd"/>
      <w:r w:rsidR="00FB4AB4" w:rsidRPr="00FB4AB4">
        <w:rPr>
          <w:rFonts w:ascii="Times New Roman" w:hAnsi="Times New Roman"/>
          <w:color w:val="000000"/>
          <w:sz w:val="28"/>
          <w:szCs w:val="28"/>
        </w:rPr>
        <w:t xml:space="preserve"> (контролю)</w:t>
      </w:r>
      <w:r w:rsidR="00FB4AB4" w:rsidRPr="00FB4AB4">
        <w:rPr>
          <w:rFonts w:ascii="Times New Roman" w:hAnsi="Times New Roman"/>
          <w:color w:val="000000"/>
          <w:sz w:val="28"/>
          <w:szCs w:val="28"/>
          <w:lang w:val="uk-UA"/>
        </w:rPr>
        <w:t xml:space="preserve"> (inspections.gov.ua).</w:t>
      </w:r>
    </w:p>
    <w:p w:rsidR="00F8476E" w:rsidRPr="005431A1" w:rsidRDefault="00F8476E" w:rsidP="00EC44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-15"/>
          <w:kern w:val="36"/>
          <w:sz w:val="40"/>
          <w:szCs w:val="40"/>
          <w:lang w:val="uk-UA" w:eastAsia="ru-RU"/>
        </w:rPr>
        <w:sectPr w:rsidR="00F8476E" w:rsidRPr="005431A1" w:rsidSect="00500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460" w:rsidRPr="00F8476E" w:rsidRDefault="00EC4460" w:rsidP="000A17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</w:pPr>
      <w:r w:rsidRPr="005431A1"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  <w:lastRenderedPageBreak/>
        <w:t>Статистика</w:t>
      </w:r>
      <w:r w:rsidRPr="00F8476E"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  <w:t xml:space="preserve"> </w:t>
      </w:r>
      <w:r w:rsidR="000A172F"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  <w:t xml:space="preserve">сайту </w:t>
      </w:r>
      <w:r w:rsidR="000A172F" w:rsidRPr="000A172F">
        <w:rPr>
          <w:rFonts w:ascii="Times New Roman" w:hAnsi="Times New Roman"/>
          <w:b/>
          <w:color w:val="000000"/>
          <w:sz w:val="28"/>
          <w:szCs w:val="28"/>
          <w:lang w:val="uk-UA"/>
        </w:rPr>
        <w:t>inspections.gov.ua</w:t>
      </w:r>
      <w:r w:rsidR="000A172F" w:rsidRPr="00F8476E"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  <w:t xml:space="preserve"> </w:t>
      </w:r>
    </w:p>
    <w:p w:rsidR="000A172F" w:rsidRDefault="000A172F" w:rsidP="00F847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</w:pPr>
    </w:p>
    <w:p w:rsidR="000A172F" w:rsidRDefault="000A172F" w:rsidP="00F847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</w:pPr>
    </w:p>
    <w:p w:rsidR="000A172F" w:rsidRDefault="000A172F" w:rsidP="00F847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Внесення інформації про</w:t>
      </w:r>
    </w:p>
    <w:p w:rsidR="00EC4460" w:rsidRPr="00EC4460" w:rsidRDefault="00CE40B1" w:rsidP="00F847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проведення планових</w:t>
      </w:r>
      <w:r w:rsidR="00EC4460" w:rsidRPr="00F8476E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/ позапланов</w:t>
      </w:r>
      <w:r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их</w:t>
      </w:r>
      <w:r w:rsidR="00EC4460" w:rsidRPr="00F8476E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 xml:space="preserve"> заход</w:t>
      </w:r>
      <w:r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ів</w:t>
      </w:r>
      <w:r w:rsidR="00EC4460" w:rsidRPr="00F8476E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 xml:space="preserve"> державного нагляду (контролю)</w:t>
      </w:r>
      <w:r w:rsidR="000A172F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 xml:space="preserve"> у 201</w:t>
      </w:r>
      <w:r w:rsidR="005431A1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9</w:t>
      </w:r>
      <w:r w:rsidR="000A172F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 xml:space="preserve"> році</w:t>
      </w:r>
    </w:p>
    <w:p w:rsidR="00EC4460" w:rsidRPr="00F8476E" w:rsidRDefault="00EC4460" w:rsidP="00F8476E">
      <w:pPr>
        <w:spacing w:after="0" w:line="240" w:lineRule="auto"/>
        <w:jc w:val="center"/>
        <w:rPr>
          <w:sz w:val="28"/>
          <w:szCs w:val="3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54"/>
        <w:gridCol w:w="1576"/>
        <w:gridCol w:w="2040"/>
        <w:gridCol w:w="1671"/>
        <w:gridCol w:w="2040"/>
        <w:gridCol w:w="2022"/>
        <w:gridCol w:w="2040"/>
        <w:gridCol w:w="1745"/>
      </w:tblGrid>
      <w:tr w:rsidR="005431A1" w:rsidRPr="00500581" w:rsidTr="005431A1">
        <w:trPr>
          <w:trHeight w:val="1260"/>
        </w:trPr>
        <w:tc>
          <w:tcPr>
            <w:tcW w:w="732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Контролюючий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орган</w:t>
            </w:r>
          </w:p>
        </w:tc>
        <w:tc>
          <w:tcPr>
            <w:tcW w:w="512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плані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2018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663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Внесено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запланованих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</w:p>
        </w:tc>
        <w:tc>
          <w:tcPr>
            <w:tcW w:w="543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Проведено / Не проведено / Не буде проведено</w:t>
            </w:r>
          </w:p>
        </w:tc>
        <w:tc>
          <w:tcPr>
            <w:tcW w:w="663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 внесено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запланованих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</w:p>
        </w:tc>
        <w:tc>
          <w:tcPr>
            <w:tcW w:w="657" w:type="pct"/>
            <w:vAlign w:val="center"/>
            <w:hideMark/>
          </w:tcPr>
          <w:p w:rsidR="005431A1" w:rsidRPr="00765EEC" w:rsidRDefault="005431A1" w:rsidP="0054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заповнених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(станом на 27.03.20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3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Внесено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позапланових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</w:p>
        </w:tc>
        <w:tc>
          <w:tcPr>
            <w:tcW w:w="567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заповнених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</w:p>
        </w:tc>
      </w:tr>
      <w:tr w:rsidR="005431A1" w:rsidRPr="005431A1" w:rsidTr="005431A1">
        <w:trPr>
          <w:trHeight w:val="1417"/>
        </w:trPr>
        <w:tc>
          <w:tcPr>
            <w:tcW w:w="732" w:type="pct"/>
            <w:vAlign w:val="center"/>
            <w:hideMark/>
          </w:tcPr>
          <w:p w:rsidR="005431A1" w:rsidRPr="005431A1" w:rsidRDefault="005431A1" w:rsidP="0054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служба </w:t>
            </w:r>
            <w:proofErr w:type="spellStart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якості</w:t>
            </w:r>
            <w:proofErr w:type="spellEnd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512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3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3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21 / 10 / 0</w:t>
            </w:r>
          </w:p>
        </w:tc>
        <w:tc>
          <w:tcPr>
            <w:tcW w:w="663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663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4F5337" w:rsidRPr="00500581" w:rsidRDefault="004F5337">
      <w:pPr>
        <w:rPr>
          <w:sz w:val="28"/>
          <w:szCs w:val="28"/>
        </w:rPr>
      </w:pPr>
    </w:p>
    <w:sectPr w:rsidR="004F5337" w:rsidRPr="00500581" w:rsidSect="00F84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C"/>
    <w:rsid w:val="000A172F"/>
    <w:rsid w:val="001165D6"/>
    <w:rsid w:val="00260E1C"/>
    <w:rsid w:val="003D4CDC"/>
    <w:rsid w:val="0046779F"/>
    <w:rsid w:val="004F5337"/>
    <w:rsid w:val="00500581"/>
    <w:rsid w:val="00503E75"/>
    <w:rsid w:val="005431A1"/>
    <w:rsid w:val="005525A2"/>
    <w:rsid w:val="00584291"/>
    <w:rsid w:val="005D7DCB"/>
    <w:rsid w:val="00615395"/>
    <w:rsid w:val="00765EEC"/>
    <w:rsid w:val="009459B4"/>
    <w:rsid w:val="00AA531A"/>
    <w:rsid w:val="00C66E31"/>
    <w:rsid w:val="00CE40B1"/>
    <w:rsid w:val="00DA261F"/>
    <w:rsid w:val="00EC4460"/>
    <w:rsid w:val="00F8476E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5ACF"/>
  <w15:docId w15:val="{2FAFAFDD-4452-4060-BD64-683D782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2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A2"/>
    <w:rPr>
      <w:rFonts w:ascii="Times New Roman" w:eastAsia="Times New Roman" w:hAnsi="Times New Roman"/>
      <w:b/>
      <w:sz w:val="16"/>
      <w:lang w:val="uk-UA"/>
    </w:rPr>
  </w:style>
  <w:style w:type="paragraph" w:styleId="a3">
    <w:name w:val="No Spacing"/>
    <w:uiPriority w:val="1"/>
    <w:qFormat/>
    <w:rsid w:val="005525A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5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EEC"/>
    <w:rPr>
      <w:b/>
      <w:bCs/>
    </w:rPr>
  </w:style>
  <w:style w:type="table" w:styleId="a7">
    <w:name w:val="Table Grid"/>
    <w:basedOn w:val="a1"/>
    <w:uiPriority w:val="59"/>
    <w:rsid w:val="0076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cp:lastPrinted>2019-03-27T10:46:00Z</cp:lastPrinted>
  <dcterms:created xsi:type="dcterms:W3CDTF">2020-03-27T06:10:00Z</dcterms:created>
  <dcterms:modified xsi:type="dcterms:W3CDTF">2020-03-27T06:33:00Z</dcterms:modified>
</cp:coreProperties>
</file>