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55" w:rsidRPr="00181962" w:rsidRDefault="00DF1255" w:rsidP="00DF1255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DF1255" w:rsidRDefault="00DF1255" w:rsidP="00DF1255">
      <w:pPr>
        <w:jc w:val="center"/>
        <w:rPr>
          <w:b/>
          <w:bCs/>
          <w:sz w:val="28"/>
          <w:szCs w:val="28"/>
          <w:lang w:val="uk-UA"/>
        </w:rPr>
      </w:pPr>
      <w:r w:rsidRPr="00181962">
        <w:rPr>
          <w:b/>
          <w:bCs/>
          <w:sz w:val="28"/>
          <w:szCs w:val="28"/>
          <w:lang w:val="uk-UA"/>
        </w:rPr>
        <w:t xml:space="preserve">до </w:t>
      </w:r>
      <w:proofErr w:type="spellStart"/>
      <w:r>
        <w:rPr>
          <w:b/>
          <w:bCs/>
          <w:sz w:val="28"/>
          <w:szCs w:val="28"/>
          <w:lang w:val="uk-UA"/>
        </w:rPr>
        <w:t>проєкту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181962">
        <w:rPr>
          <w:b/>
          <w:bCs/>
          <w:sz w:val="28"/>
          <w:szCs w:val="28"/>
          <w:lang w:val="uk-UA"/>
        </w:rPr>
        <w:t xml:space="preserve">наказу Міністерства освіти і науки України </w:t>
      </w:r>
    </w:p>
    <w:p w:rsidR="00DF1255" w:rsidRPr="00181962" w:rsidRDefault="00DF1255" w:rsidP="00DF125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81962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Про затвердження Порядку проведення позапланових перевірок суб’єктів освітньої діяльності</w:t>
      </w:r>
      <w:r>
        <w:rPr>
          <w:b/>
          <w:sz w:val="28"/>
          <w:szCs w:val="28"/>
          <w:lang w:val="uk-UA" w:eastAsia="en-US"/>
        </w:rPr>
        <w:t>»</w:t>
      </w:r>
    </w:p>
    <w:p w:rsidR="00DF1255" w:rsidRDefault="00DF1255" w:rsidP="00DF1255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DF1255" w:rsidRPr="008A3A06" w:rsidRDefault="00DF1255" w:rsidP="008A0B99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</w:t>
      </w:r>
    </w:p>
    <w:p w:rsidR="00DF1255" w:rsidRDefault="00DF1255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proofErr w:type="spellStart"/>
      <w:r w:rsidRPr="0095772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оєкт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розроблено з метою врегулювання механізму проведення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Позапланових перевірок суб’єктів освітньої діяльності, що забезпечують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здобуття дошкільної, позашкільної, професійної (професійно-технічної),</w:t>
      </w:r>
      <w:r w:rsidRPr="00DF1255">
        <w:rPr>
          <w:sz w:val="28"/>
          <w:lang w:val="uk-UA"/>
        </w:rPr>
        <w:t xml:space="preserve">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>, вищої освіти.</w:t>
      </w:r>
    </w:p>
    <w:p w:rsidR="00DF1255" w:rsidRDefault="00DF1255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F1255" w:rsidRPr="008A3A06" w:rsidRDefault="00DF1255" w:rsidP="008A0B99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:rsidR="00DF1255" w:rsidRDefault="00DF1255" w:rsidP="00DF1255">
      <w:pPr>
        <w:widowControl w:val="0"/>
        <w:ind w:firstLine="567"/>
        <w:jc w:val="both"/>
        <w:rPr>
          <w:rStyle w:val="rvts0"/>
          <w:sz w:val="28"/>
          <w:szCs w:val="28"/>
          <w:lang w:val="uk-UA"/>
        </w:rPr>
      </w:pPr>
      <w:proofErr w:type="spellStart"/>
      <w:r>
        <w:rPr>
          <w:rStyle w:val="rvts0"/>
          <w:sz w:val="28"/>
          <w:szCs w:val="28"/>
          <w:lang w:val="uk-UA"/>
        </w:rPr>
        <w:t>Проєкт</w:t>
      </w:r>
      <w:proofErr w:type="spellEnd"/>
      <w:r>
        <w:rPr>
          <w:rStyle w:val="rvts0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sz w:val="28"/>
          <w:szCs w:val="28"/>
          <w:lang w:val="uk-UA"/>
        </w:rPr>
        <w:t>акта</w:t>
      </w:r>
      <w:proofErr w:type="spellEnd"/>
      <w:r>
        <w:rPr>
          <w:rStyle w:val="rvts0"/>
          <w:sz w:val="28"/>
          <w:szCs w:val="28"/>
          <w:lang w:val="uk-UA"/>
        </w:rPr>
        <w:t xml:space="preserve"> розроблено Міністерством освіти і науки України спільно</w:t>
      </w:r>
      <w:r>
        <w:rPr>
          <w:sz w:val="28"/>
          <w:lang w:val="uk-UA"/>
        </w:rPr>
        <w:br/>
      </w:r>
      <w:r>
        <w:rPr>
          <w:rStyle w:val="rvts0"/>
          <w:sz w:val="28"/>
          <w:szCs w:val="28"/>
          <w:lang w:val="uk-UA"/>
        </w:rPr>
        <w:t>з Державною службою якості освіти України відповідно до абзацу двадцять</w:t>
      </w:r>
      <w:r>
        <w:rPr>
          <w:sz w:val="28"/>
          <w:lang w:val="uk-UA"/>
        </w:rPr>
        <w:br/>
      </w:r>
      <w:r>
        <w:rPr>
          <w:rStyle w:val="rvts0"/>
          <w:sz w:val="28"/>
          <w:szCs w:val="28"/>
          <w:lang w:val="uk-UA"/>
        </w:rPr>
        <w:t>третього частини першої статті 64, частини четвертої статті 69 Закону України</w:t>
      </w:r>
      <w:r>
        <w:rPr>
          <w:sz w:val="28"/>
          <w:lang w:val="uk-UA"/>
        </w:rPr>
        <w:br/>
      </w:r>
      <w:r>
        <w:rPr>
          <w:rStyle w:val="rvts0"/>
          <w:sz w:val="28"/>
          <w:szCs w:val="28"/>
          <w:lang w:val="uk-UA"/>
        </w:rPr>
        <w:t>«Про освіту», частини дев’ятої статті 2 Закону України «Про основні засади</w:t>
      </w:r>
      <w:r>
        <w:rPr>
          <w:sz w:val="28"/>
          <w:lang w:val="uk-UA"/>
        </w:rPr>
        <w:br/>
      </w:r>
      <w:r>
        <w:rPr>
          <w:rStyle w:val="rvts0"/>
          <w:sz w:val="28"/>
          <w:szCs w:val="28"/>
          <w:lang w:val="uk-UA"/>
        </w:rPr>
        <w:t>державного нагляду (контролю) у сфері господарської діяльності».</w:t>
      </w:r>
    </w:p>
    <w:p w:rsidR="00434F0D" w:rsidRDefault="00434F0D" w:rsidP="00434F0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абзацу 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64,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69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державного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(контролю)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центральний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позапланові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порядком,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(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69).</w:t>
      </w:r>
    </w:p>
    <w:p w:rsidR="00434F0D" w:rsidRDefault="00434F0D" w:rsidP="00434F0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норм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державного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(контролю)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 не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центрального органу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.</w:t>
      </w:r>
    </w:p>
    <w:p w:rsidR="00434F0D" w:rsidRDefault="00434F0D" w:rsidP="00434F0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як заходу держаного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(контролю) у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сферах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за мету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сферах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наразі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нормативний</w:t>
      </w:r>
      <w:proofErr w:type="spellEnd"/>
      <w:r>
        <w:rPr>
          <w:sz w:val="28"/>
          <w:szCs w:val="28"/>
        </w:rPr>
        <w:t xml:space="preserve"> акт,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</w:t>
      </w:r>
      <w:r w:rsidRPr="004E6A2A">
        <w:rPr>
          <w:sz w:val="28"/>
          <w:szCs w:val="28"/>
        </w:rPr>
        <w:t>’</w:t>
      </w:r>
      <w:r>
        <w:rPr>
          <w:sz w:val="28"/>
          <w:szCs w:val="28"/>
        </w:rPr>
        <w:t>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434F0D" w:rsidRDefault="00434F0D" w:rsidP="00434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</w:t>
      </w:r>
      <w:r w:rsidRPr="004E6A2A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наказу МОН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</w:t>
      </w:r>
      <w:r w:rsidRPr="004E6A2A">
        <w:rPr>
          <w:sz w:val="28"/>
          <w:szCs w:val="28"/>
        </w:rPr>
        <w:t>’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дозволить </w:t>
      </w:r>
      <w:proofErr w:type="spellStart"/>
      <w:r>
        <w:rPr>
          <w:sz w:val="28"/>
          <w:szCs w:val="28"/>
        </w:rPr>
        <w:t>унормувати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сферах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</w:rPr>
        <w:t>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434F0D" w:rsidRDefault="00434F0D" w:rsidP="00434F0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державного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(контролю)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</w:t>
      </w:r>
      <w:r w:rsidRPr="004E6A2A">
        <w:rPr>
          <w:sz w:val="28"/>
          <w:szCs w:val="28"/>
        </w:rPr>
        <w:t>’</w:t>
      </w:r>
      <w:r>
        <w:rPr>
          <w:sz w:val="28"/>
          <w:szCs w:val="28"/>
        </w:rPr>
        <w:t>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</w:t>
      </w:r>
      <w:r w:rsidRPr="004E6A2A">
        <w:rPr>
          <w:sz w:val="28"/>
          <w:szCs w:val="28"/>
        </w:rPr>
        <w:t>’</w:t>
      </w:r>
      <w:r>
        <w:rPr>
          <w:sz w:val="28"/>
          <w:szCs w:val="28"/>
        </w:rPr>
        <w:t>ятою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державного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(контролю)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цих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положень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відповідні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органи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зобов’язані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використовувати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виключно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уніфіковані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форми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актів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при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здійсненні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заходів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державного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нагляду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(контролю). Тому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проєктом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наказу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передбачено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також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затвердження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нових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форм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актів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позапланової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перевірки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і,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відповідно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втрату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чинності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наявних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уніфікованих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форм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актів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щодо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проведення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позапланових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заходів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державного </w:t>
      </w:r>
      <w:proofErr w:type="spellStart"/>
      <w:r w:rsidRPr="002C601D">
        <w:rPr>
          <w:sz w:val="28"/>
          <w:szCs w:val="28"/>
          <w:shd w:val="clear" w:color="auto" w:fill="FFFFFF" w:themeFill="background1"/>
        </w:rPr>
        <w:t>нагляду</w:t>
      </w:r>
      <w:proofErr w:type="spellEnd"/>
      <w:r w:rsidRPr="002C601D">
        <w:rPr>
          <w:sz w:val="28"/>
          <w:szCs w:val="28"/>
          <w:shd w:val="clear" w:color="auto" w:fill="FFFFFF" w:themeFill="background1"/>
        </w:rPr>
        <w:t xml:space="preserve"> (контролю).</w:t>
      </w:r>
    </w:p>
    <w:p w:rsidR="00DF1255" w:rsidRDefault="00DF1255" w:rsidP="00DF1255">
      <w:pPr>
        <w:widowControl w:val="0"/>
        <w:ind w:firstLine="1080"/>
        <w:jc w:val="both"/>
        <w:rPr>
          <w:sz w:val="28"/>
          <w:szCs w:val="28"/>
          <w:lang w:val="uk-UA"/>
        </w:rPr>
      </w:pPr>
    </w:p>
    <w:p w:rsidR="00DF1255" w:rsidRPr="00181962" w:rsidRDefault="00DF1255" w:rsidP="008A0B99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положення</w:t>
      </w:r>
      <w:r w:rsidRPr="0018196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r w:rsidRPr="00181962">
        <w:rPr>
          <w:b/>
          <w:sz w:val="28"/>
          <w:szCs w:val="28"/>
          <w:lang w:val="uk-UA"/>
        </w:rPr>
        <w:t>у</w:t>
      </w:r>
      <w:proofErr w:type="spellEnd"/>
      <w:r w:rsidRPr="00181962">
        <w:rPr>
          <w:b/>
          <w:sz w:val="28"/>
          <w:szCs w:val="28"/>
          <w:lang w:val="uk-UA"/>
        </w:rPr>
        <w:t xml:space="preserve"> </w:t>
      </w:r>
      <w:proofErr w:type="spellStart"/>
      <w:r w:rsidRPr="00181962">
        <w:rPr>
          <w:b/>
          <w:sz w:val="28"/>
          <w:szCs w:val="28"/>
          <w:lang w:val="uk-UA"/>
        </w:rPr>
        <w:t>акта</w:t>
      </w:r>
      <w:proofErr w:type="spellEnd"/>
    </w:p>
    <w:p w:rsidR="00DF1255" w:rsidRDefault="008A0B99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запропоновано:</w:t>
      </w:r>
    </w:p>
    <w:p w:rsidR="008A0B99" w:rsidRDefault="008A0B99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Порядок проведення позапланових перевірок суб’єктів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освітньої діяльності;</w:t>
      </w:r>
    </w:p>
    <w:p w:rsidR="008A0B99" w:rsidRDefault="008A0B99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чинність, наказ Міністерства освіти і науки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України від 05 серпня 2019 року № 1070 «Про затвердження уніфікованої </w:t>
      </w:r>
      <w:r>
        <w:rPr>
          <w:sz w:val="28"/>
          <w:lang w:val="uk-UA"/>
        </w:rPr>
        <w:br/>
      </w:r>
      <w:r w:rsidR="00210DDC">
        <w:rPr>
          <w:sz w:val="28"/>
          <w:szCs w:val="28"/>
          <w:lang w:val="uk-UA"/>
        </w:rPr>
        <w:t xml:space="preserve">форми </w:t>
      </w:r>
      <w:proofErr w:type="spellStart"/>
      <w:r w:rsidR="00210DDC">
        <w:rPr>
          <w:sz w:val="28"/>
          <w:szCs w:val="28"/>
          <w:lang w:val="uk-UA"/>
        </w:rPr>
        <w:t>акта</w:t>
      </w:r>
      <w:proofErr w:type="spellEnd"/>
      <w:r w:rsidR="00210DDC">
        <w:rPr>
          <w:sz w:val="28"/>
          <w:szCs w:val="28"/>
          <w:lang w:val="uk-UA"/>
        </w:rPr>
        <w:t>, що складається за результатами проведення планового</w:t>
      </w:r>
      <w:r w:rsidR="00210DDC">
        <w:rPr>
          <w:sz w:val="28"/>
          <w:lang w:val="uk-UA"/>
        </w:rPr>
        <w:br/>
      </w:r>
      <w:r w:rsidR="00210DDC">
        <w:rPr>
          <w:sz w:val="28"/>
          <w:szCs w:val="28"/>
          <w:lang w:val="uk-UA"/>
        </w:rPr>
        <w:t xml:space="preserve">(позапланового) заходу державного нагляду (контролю) щодо дотримання </w:t>
      </w:r>
      <w:r w:rsidR="00210DDC">
        <w:rPr>
          <w:sz w:val="28"/>
          <w:lang w:val="uk-UA"/>
        </w:rPr>
        <w:br/>
      </w:r>
      <w:r w:rsidR="00210DDC">
        <w:rPr>
          <w:sz w:val="28"/>
          <w:szCs w:val="28"/>
          <w:lang w:val="uk-UA"/>
        </w:rPr>
        <w:t>суб’єктом господарювання вимог законодавства у сфері дошкільної</w:t>
      </w:r>
      <w:r w:rsidR="00210DDC">
        <w:rPr>
          <w:sz w:val="28"/>
          <w:lang w:val="uk-UA"/>
        </w:rPr>
        <w:br/>
      </w:r>
      <w:r w:rsidR="00210DDC">
        <w:rPr>
          <w:sz w:val="28"/>
          <w:szCs w:val="28"/>
          <w:lang w:val="uk-UA"/>
        </w:rPr>
        <w:t>освіти», зареєстрований в М</w:t>
      </w:r>
      <w:r w:rsidR="00434F0D">
        <w:rPr>
          <w:sz w:val="28"/>
          <w:szCs w:val="28"/>
          <w:lang w:val="uk-UA"/>
        </w:rPr>
        <w:t xml:space="preserve">іністерстві юстиції України 29 </w:t>
      </w:r>
      <w:r w:rsidR="00210DDC">
        <w:rPr>
          <w:sz w:val="28"/>
          <w:szCs w:val="28"/>
          <w:lang w:val="uk-UA"/>
        </w:rPr>
        <w:t>серпня 2019 року</w:t>
      </w:r>
      <w:r w:rsidR="00210DDC">
        <w:rPr>
          <w:sz w:val="28"/>
          <w:lang w:val="uk-UA"/>
        </w:rPr>
        <w:br/>
      </w:r>
      <w:r w:rsidR="00210DDC">
        <w:rPr>
          <w:sz w:val="28"/>
          <w:szCs w:val="28"/>
          <w:lang w:val="uk-UA"/>
        </w:rPr>
        <w:t>за № 1005/33976;</w:t>
      </w:r>
    </w:p>
    <w:p w:rsidR="00210DDC" w:rsidRDefault="00210DDC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чинність, наказ Міністерства освіти і науки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України від 12 червня 2019 року № 818 «Про затвердження уніфікованої форми</w:t>
      </w:r>
      <w:r>
        <w:rPr>
          <w:sz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, що складається за результатами проведення планового (позапланового)</w:t>
      </w:r>
      <w:r w:rsidRPr="00210DDC">
        <w:rPr>
          <w:sz w:val="28"/>
          <w:lang w:val="uk-UA"/>
        </w:rPr>
        <w:t xml:space="preserve">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заходу державного нагляду (контролю) щодо дотримання суб’єктом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господарювання вимог законодавства у сфері позашкільної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освіти», зареєстрований в Міністерстві юстиції України 04 липня 2019 року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за № 731/33702;</w:t>
      </w:r>
    </w:p>
    <w:p w:rsidR="00210DDC" w:rsidRDefault="00210DDC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втратив чинність , наказ Міністерства освіти у науки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України від 07 листопада 2019 року № 1405 «Про затвердження уніфікованої</w:t>
      </w:r>
      <w:r w:rsidR="009C4A76">
        <w:rPr>
          <w:sz w:val="28"/>
          <w:lang w:val="uk-UA"/>
        </w:rPr>
        <w:br/>
      </w:r>
      <w:r w:rsidR="009C4A76">
        <w:rPr>
          <w:sz w:val="28"/>
          <w:szCs w:val="28"/>
          <w:lang w:val="uk-UA"/>
        </w:rPr>
        <w:t xml:space="preserve">форми </w:t>
      </w:r>
      <w:proofErr w:type="spellStart"/>
      <w:r w:rsidR="009C4A76">
        <w:rPr>
          <w:sz w:val="28"/>
          <w:szCs w:val="28"/>
          <w:lang w:val="uk-UA"/>
        </w:rPr>
        <w:t>акта</w:t>
      </w:r>
      <w:proofErr w:type="spellEnd"/>
      <w:r w:rsidR="009C4A76">
        <w:rPr>
          <w:sz w:val="28"/>
          <w:szCs w:val="28"/>
          <w:lang w:val="uk-UA"/>
        </w:rPr>
        <w:t>, що складається за результатами проведення планового</w:t>
      </w:r>
      <w:r w:rsidR="009C4A76">
        <w:rPr>
          <w:sz w:val="28"/>
          <w:lang w:val="uk-UA"/>
        </w:rPr>
        <w:br/>
      </w:r>
      <w:r w:rsidR="009C4A76">
        <w:rPr>
          <w:sz w:val="28"/>
          <w:szCs w:val="28"/>
          <w:lang w:val="uk-UA"/>
        </w:rPr>
        <w:t xml:space="preserve">(позапланового) заходу державного нагляду (контролю) щодо дотримання суб’єктом господарювання вимог законодавства у сфері професійної </w:t>
      </w:r>
      <w:r w:rsidR="009C4A76">
        <w:rPr>
          <w:sz w:val="28"/>
          <w:lang w:val="uk-UA"/>
        </w:rPr>
        <w:br/>
      </w:r>
      <w:r w:rsidR="009C4A76">
        <w:rPr>
          <w:sz w:val="28"/>
          <w:szCs w:val="28"/>
          <w:lang w:val="uk-UA"/>
        </w:rPr>
        <w:t>(професійно-технічної) освіти</w:t>
      </w:r>
      <w:r>
        <w:rPr>
          <w:sz w:val="28"/>
          <w:szCs w:val="28"/>
          <w:lang w:val="uk-UA"/>
        </w:rPr>
        <w:t>»</w:t>
      </w:r>
      <w:r w:rsidR="009C4A76">
        <w:rPr>
          <w:sz w:val="28"/>
          <w:szCs w:val="28"/>
          <w:lang w:val="uk-UA"/>
        </w:rPr>
        <w:t>, зареєстрований в Міністерстві юстиції України</w:t>
      </w:r>
      <w:r w:rsidR="009C4A76">
        <w:rPr>
          <w:sz w:val="28"/>
          <w:lang w:val="uk-UA"/>
        </w:rPr>
        <w:br/>
      </w:r>
      <w:r w:rsidR="009C4A76">
        <w:rPr>
          <w:sz w:val="28"/>
          <w:szCs w:val="28"/>
          <w:lang w:val="uk-UA"/>
        </w:rPr>
        <w:t>27 грудня 2019 року за № 1296/34267;</w:t>
      </w:r>
    </w:p>
    <w:p w:rsidR="009C4A76" w:rsidRDefault="009C4A76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наказу Міністерства освіти і науки України від 22 лютого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2019 року № 239 «Про затвердження уніфікованої форми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, що складається за результатами проведення планових (позапланових) заходів державного</w:t>
      </w:r>
      <w:r>
        <w:rPr>
          <w:sz w:val="28"/>
          <w:lang w:val="uk-UA"/>
        </w:rPr>
        <w:br/>
      </w:r>
      <w:r w:rsidR="0058385B">
        <w:rPr>
          <w:sz w:val="28"/>
          <w:szCs w:val="28"/>
          <w:lang w:val="uk-UA"/>
        </w:rPr>
        <w:t xml:space="preserve">нагляду (контролю) щодо дотримання суб’єктом господарювання вимог </w:t>
      </w:r>
      <w:r w:rsidR="0058385B">
        <w:rPr>
          <w:sz w:val="28"/>
          <w:lang w:val="uk-UA"/>
        </w:rPr>
        <w:br/>
      </w:r>
      <w:r w:rsidR="0058385B">
        <w:rPr>
          <w:sz w:val="28"/>
          <w:szCs w:val="28"/>
          <w:lang w:val="uk-UA"/>
        </w:rPr>
        <w:t>законодавства у сфері вищої освіти</w:t>
      </w:r>
      <w:r>
        <w:rPr>
          <w:sz w:val="28"/>
          <w:szCs w:val="28"/>
          <w:lang w:val="uk-UA"/>
        </w:rPr>
        <w:t>»</w:t>
      </w:r>
      <w:r w:rsidR="0058385B">
        <w:rPr>
          <w:sz w:val="28"/>
          <w:szCs w:val="28"/>
          <w:lang w:val="uk-UA"/>
        </w:rPr>
        <w:t>, зареєстрований в Міністерстві юстиції</w:t>
      </w:r>
      <w:r w:rsidR="0058385B">
        <w:rPr>
          <w:sz w:val="28"/>
          <w:lang w:val="uk-UA"/>
        </w:rPr>
        <w:br/>
      </w:r>
      <w:r w:rsidR="0058385B">
        <w:rPr>
          <w:sz w:val="28"/>
          <w:szCs w:val="28"/>
          <w:lang w:val="uk-UA"/>
        </w:rPr>
        <w:t>України 20 березня 2019 року за № 278/33249.</w:t>
      </w:r>
    </w:p>
    <w:p w:rsidR="0058385B" w:rsidRDefault="0058385B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Позапланові перевірки дотримання такими закладами вимог законодавства у сфері освіти відповідно до своїх повноважень здійснюють Державна служба якості освіти України та її територіальні органи.</w:t>
      </w:r>
    </w:p>
    <w:p w:rsidR="008A0B99" w:rsidRPr="00181962" w:rsidRDefault="008A0B99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</w:p>
    <w:p w:rsidR="00DF1255" w:rsidRDefault="00DF1255" w:rsidP="008A0B99">
      <w:pPr>
        <w:widowControl w:val="0"/>
        <w:numPr>
          <w:ilvl w:val="0"/>
          <w:numId w:val="1"/>
        </w:numPr>
        <w:ind w:left="0"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Правові аспекти</w:t>
      </w:r>
    </w:p>
    <w:p w:rsidR="00DF1255" w:rsidRDefault="0058385B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DF1255" w:rsidRPr="0063740D">
        <w:rPr>
          <w:sz w:val="28"/>
          <w:szCs w:val="28"/>
          <w:lang w:val="uk-UA"/>
        </w:rPr>
        <w:t xml:space="preserve"> розроблено </w:t>
      </w:r>
      <w:r>
        <w:rPr>
          <w:sz w:val="28"/>
          <w:szCs w:val="28"/>
          <w:lang w:val="uk-UA"/>
        </w:rPr>
        <w:t>на підставі Законів України «Про</w:t>
      </w:r>
      <w:r w:rsidR="00DF1255" w:rsidRPr="007A289E">
        <w:rPr>
          <w:sz w:val="28"/>
          <w:szCs w:val="28"/>
          <w:lang w:val="uk-UA"/>
        </w:rPr>
        <w:t xml:space="preserve"> освіту», </w:t>
      </w:r>
      <w:r>
        <w:rPr>
          <w:sz w:val="28"/>
          <w:szCs w:val="28"/>
          <w:lang w:val="uk-UA"/>
        </w:rPr>
        <w:t>«Про повну загальну середню освіту», «Про основні засади державного нагляду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(контролю) у сфері господарської діяльності».</w:t>
      </w:r>
    </w:p>
    <w:p w:rsidR="0058385B" w:rsidRPr="00391BE4" w:rsidRDefault="0058385B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нормативно-правові акти, що діють у сфері державного нагляду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(контролю) у сферах дошкільної, позашкільної, професійної (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технічної),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>, вищої освіти : закони України «Про захист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персональних даних», «Про запобігання корупції», «Про звернення громадян»; Положення про Державну службу якості освіти України, затверджене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постановою Кабінету Міністрів України від 14 березня 2018 року № 168;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Положення про освітнього омбудсмена, затверджене постановою Кабінету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Міністрів України від 06 червня 2018 року № 491.</w:t>
      </w:r>
    </w:p>
    <w:p w:rsidR="00DF1255" w:rsidRPr="00391BE4" w:rsidRDefault="00DF1255" w:rsidP="008A0B99">
      <w:pPr>
        <w:tabs>
          <w:tab w:val="left" w:pos="1276"/>
          <w:tab w:val="left" w:pos="9356"/>
        </w:tabs>
        <w:ind w:firstLine="567"/>
        <w:jc w:val="both"/>
        <w:rPr>
          <w:sz w:val="28"/>
          <w:szCs w:val="28"/>
          <w:lang w:val="uk-UA"/>
        </w:rPr>
      </w:pPr>
    </w:p>
    <w:p w:rsidR="00DF1255" w:rsidRPr="008A3A06" w:rsidRDefault="00DF1255" w:rsidP="008A0B99">
      <w:pPr>
        <w:widowControl w:val="0"/>
        <w:numPr>
          <w:ilvl w:val="0"/>
          <w:numId w:val="1"/>
        </w:numPr>
        <w:ind w:left="0"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Фінансово-економічне обґрунтування</w:t>
      </w:r>
    </w:p>
    <w:p w:rsidR="00DF1255" w:rsidRDefault="00DF1255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91BE4">
        <w:rPr>
          <w:sz w:val="28"/>
          <w:szCs w:val="28"/>
          <w:lang w:val="uk-UA"/>
        </w:rPr>
        <w:t>Реалізац</w:t>
      </w:r>
      <w:r w:rsidR="007E5E91">
        <w:rPr>
          <w:sz w:val="28"/>
          <w:szCs w:val="28"/>
          <w:lang w:val="uk-UA"/>
        </w:rPr>
        <w:t>ія наказу</w:t>
      </w:r>
      <w:r w:rsidR="0058385B">
        <w:rPr>
          <w:sz w:val="28"/>
          <w:szCs w:val="28"/>
          <w:lang w:val="uk-UA"/>
        </w:rPr>
        <w:t xml:space="preserve"> не потребує</w:t>
      </w:r>
      <w:r w:rsidR="007E5E91">
        <w:rPr>
          <w:sz w:val="28"/>
          <w:szCs w:val="28"/>
          <w:lang w:val="uk-UA"/>
        </w:rPr>
        <w:t xml:space="preserve"> додаткових фінансових чи інших витрат</w:t>
      </w:r>
      <w:r w:rsidRPr="00391BE4">
        <w:rPr>
          <w:sz w:val="28"/>
          <w:szCs w:val="28"/>
          <w:lang w:val="uk-UA"/>
        </w:rPr>
        <w:t xml:space="preserve"> </w:t>
      </w:r>
      <w:r w:rsidR="007E5E91">
        <w:rPr>
          <w:sz w:val="28"/>
          <w:lang w:val="uk-UA"/>
        </w:rPr>
        <w:br/>
      </w:r>
      <w:r w:rsidRPr="00391BE4">
        <w:rPr>
          <w:sz w:val="28"/>
          <w:szCs w:val="28"/>
          <w:lang w:val="uk-UA"/>
        </w:rPr>
        <w:t>з державного чи місцевого бюдже</w:t>
      </w:r>
      <w:r w:rsidR="007E5E91">
        <w:rPr>
          <w:sz w:val="28"/>
          <w:szCs w:val="28"/>
          <w:lang w:val="uk-UA"/>
        </w:rPr>
        <w:t>тів</w:t>
      </w:r>
      <w:r w:rsidRPr="00391BE4">
        <w:rPr>
          <w:sz w:val="28"/>
          <w:szCs w:val="28"/>
          <w:lang w:val="uk-UA"/>
        </w:rPr>
        <w:t>.</w:t>
      </w:r>
    </w:p>
    <w:p w:rsidR="00DF1255" w:rsidRPr="0076042B" w:rsidRDefault="00DF1255" w:rsidP="008A0B99">
      <w:pPr>
        <w:widowControl w:val="0"/>
        <w:ind w:firstLine="567"/>
        <w:jc w:val="both"/>
        <w:rPr>
          <w:sz w:val="16"/>
          <w:szCs w:val="16"/>
          <w:lang w:val="uk-UA"/>
        </w:rPr>
      </w:pPr>
    </w:p>
    <w:p w:rsidR="00DF1255" w:rsidRPr="008A3A06" w:rsidRDefault="00DF1255" w:rsidP="008A0B99">
      <w:pPr>
        <w:widowControl w:val="0"/>
        <w:numPr>
          <w:ilvl w:val="0"/>
          <w:numId w:val="1"/>
        </w:numPr>
        <w:ind w:left="0"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Позиція заінтересованих сторін</w:t>
      </w:r>
    </w:p>
    <w:p w:rsidR="00DF1255" w:rsidRDefault="007E5E91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правового регулювання обговорено з представниками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закладів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освіти , органів управління у сфері освіти, громадськості.</w:t>
      </w:r>
    </w:p>
    <w:p w:rsidR="007E5E91" w:rsidRDefault="007E5E91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громадське обговорення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Порядку проведення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позапланових перевірок суб’єктів освітньої діяльності (у формі електронних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консультацій з громадськістю). Всі пропозиції та зауваження опрацьовано,</w:t>
      </w:r>
      <w:r w:rsidRPr="007E5E91">
        <w:rPr>
          <w:sz w:val="28"/>
          <w:lang w:val="uk-UA"/>
        </w:rPr>
        <w:t xml:space="preserve">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Порядку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доповнення та уточнення. </w:t>
      </w:r>
    </w:p>
    <w:p w:rsidR="00573798" w:rsidRDefault="00573798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не стосується питань функціонування місцевого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самоврядування, прав та інтересів територіальних громад, місцевого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та регіонального розвитку, соціально-трудової сфери, прав осіб з інвалідністю,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функціонування і застосування української мови як державної.</w:t>
      </w:r>
    </w:p>
    <w:p w:rsidR="00573798" w:rsidRDefault="00573798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не стосується сфери наукової та науково-технічної діяльності .</w:t>
      </w:r>
    </w:p>
    <w:p w:rsidR="00573798" w:rsidRDefault="00573798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потребує погодження з Міністерством розвитку економіки, торгівлі та сільського господарства України, Державною службою якості освіти України, Державною регуляторною службою України. </w:t>
      </w:r>
    </w:p>
    <w:p w:rsidR="00573798" w:rsidRPr="007E5E91" w:rsidRDefault="00573798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потребує проведення державної реєстрації в Міністерстві юстиції України.</w:t>
      </w:r>
    </w:p>
    <w:p w:rsidR="007E5E91" w:rsidRDefault="007E5E91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F1255" w:rsidRPr="008A3A06" w:rsidRDefault="00DF1255" w:rsidP="008A0B99">
      <w:pPr>
        <w:widowControl w:val="0"/>
        <w:numPr>
          <w:ilvl w:val="0"/>
          <w:numId w:val="1"/>
        </w:numPr>
        <w:ind w:left="0" w:firstLine="56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Оцінка відповідності</w:t>
      </w:r>
    </w:p>
    <w:p w:rsidR="00DF1255" w:rsidRPr="000231B0" w:rsidRDefault="00DF1255" w:rsidP="0057379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231B0">
        <w:rPr>
          <w:sz w:val="28"/>
          <w:szCs w:val="28"/>
          <w:lang w:val="uk-UA"/>
        </w:rPr>
        <w:t xml:space="preserve">У </w:t>
      </w:r>
      <w:proofErr w:type="spellStart"/>
      <w:r w:rsidRPr="000231B0">
        <w:rPr>
          <w:sz w:val="28"/>
          <w:szCs w:val="28"/>
          <w:lang w:val="uk-UA"/>
        </w:rPr>
        <w:t>проєкті</w:t>
      </w:r>
      <w:proofErr w:type="spellEnd"/>
      <w:r w:rsidRPr="000231B0">
        <w:rPr>
          <w:sz w:val="28"/>
          <w:szCs w:val="28"/>
          <w:lang w:val="uk-UA"/>
        </w:rPr>
        <w:t xml:space="preserve"> </w:t>
      </w:r>
      <w:proofErr w:type="spellStart"/>
      <w:r w:rsidRPr="000231B0">
        <w:rPr>
          <w:sz w:val="28"/>
          <w:szCs w:val="28"/>
          <w:lang w:val="uk-UA"/>
        </w:rPr>
        <w:t>акта</w:t>
      </w:r>
      <w:proofErr w:type="spellEnd"/>
      <w:r w:rsidRPr="000231B0">
        <w:rPr>
          <w:sz w:val="28"/>
          <w:szCs w:val="28"/>
          <w:lang w:val="uk-UA"/>
        </w:rPr>
        <w:t xml:space="preserve"> відсутні положення, що стосуються зобов’язань України </w:t>
      </w:r>
      <w:r w:rsidR="00573798">
        <w:rPr>
          <w:sz w:val="28"/>
          <w:lang w:val="uk-UA"/>
        </w:rPr>
        <w:br/>
      </w:r>
      <w:r w:rsidRPr="000231B0">
        <w:rPr>
          <w:sz w:val="28"/>
          <w:szCs w:val="28"/>
          <w:lang w:val="uk-UA"/>
        </w:rPr>
        <w:t xml:space="preserve">у сфері європейської інтеграції; </w:t>
      </w:r>
      <w:r w:rsidR="00573798">
        <w:rPr>
          <w:sz w:val="28"/>
          <w:szCs w:val="28"/>
          <w:lang w:val="uk-UA"/>
        </w:rPr>
        <w:t xml:space="preserve">стосуються </w:t>
      </w:r>
      <w:r w:rsidRPr="000231B0">
        <w:rPr>
          <w:sz w:val="28"/>
          <w:szCs w:val="28"/>
          <w:lang w:val="uk-UA"/>
        </w:rPr>
        <w:t>прав та свобод, гарантованих Конвенцією про захист прав людини і основоположних свобод; впливають</w:t>
      </w:r>
      <w:r w:rsidR="00573798">
        <w:rPr>
          <w:sz w:val="28"/>
          <w:lang w:val="uk-UA"/>
        </w:rPr>
        <w:br/>
      </w:r>
      <w:r w:rsidRPr="000231B0">
        <w:rPr>
          <w:sz w:val="28"/>
          <w:szCs w:val="28"/>
          <w:lang w:val="uk-UA"/>
        </w:rPr>
        <w:t>на забезпечення рівних прав та можливостей ж</w:t>
      </w:r>
      <w:r w:rsidR="00573798">
        <w:rPr>
          <w:sz w:val="28"/>
          <w:szCs w:val="28"/>
          <w:lang w:val="uk-UA"/>
        </w:rPr>
        <w:t xml:space="preserve">інок і чоловіків; </w:t>
      </w:r>
      <w:r w:rsidRPr="000231B0">
        <w:rPr>
          <w:sz w:val="28"/>
          <w:szCs w:val="28"/>
          <w:lang w:val="uk-UA"/>
        </w:rPr>
        <w:t>створюють підстави для дискримінації.</w:t>
      </w:r>
    </w:p>
    <w:p w:rsidR="00573798" w:rsidRDefault="00573798" w:rsidP="008A0B99">
      <w:pPr>
        <w:widowControl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передбачено запобігання </w:t>
      </w:r>
      <w:r w:rsidR="008A29BD">
        <w:rPr>
          <w:sz w:val="28"/>
          <w:szCs w:val="28"/>
          <w:lang w:val="uk-UA"/>
        </w:rPr>
        <w:t>ризикам вчинення корупційних правопорушень та правопорушень, пов’язаних з корупцією. Зокрема, до складу комісії, яка проводить позапланові перевірки суб’єктів господарювання.</w:t>
      </w:r>
    </w:p>
    <w:p w:rsidR="00DF1255" w:rsidRDefault="008A29BD" w:rsidP="008A29BD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надають послуги у сфері дошкільної, позашкільної, професійної</w:t>
      </w:r>
      <w:r>
        <w:rPr>
          <w:sz w:val="28"/>
          <w:lang w:val="uk-UA"/>
        </w:rPr>
        <w:br/>
      </w:r>
      <w:r>
        <w:rPr>
          <w:bCs/>
          <w:sz w:val="28"/>
          <w:szCs w:val="28"/>
          <w:lang w:val="uk-UA"/>
        </w:rPr>
        <w:lastRenderedPageBreak/>
        <w:t xml:space="preserve">(професійно-технічної), фахової </w:t>
      </w:r>
      <w:proofErr w:type="spellStart"/>
      <w:r>
        <w:rPr>
          <w:bCs/>
          <w:sz w:val="28"/>
          <w:szCs w:val="28"/>
          <w:lang w:val="uk-UA"/>
        </w:rPr>
        <w:t>передвищої</w:t>
      </w:r>
      <w:proofErr w:type="spellEnd"/>
      <w:r>
        <w:rPr>
          <w:bCs/>
          <w:sz w:val="28"/>
          <w:szCs w:val="28"/>
          <w:lang w:val="uk-UA"/>
        </w:rPr>
        <w:t xml:space="preserve">, вищої освіти, не може бути включено осіб, які є близькими особами працівників закладу освіти, мають конфлікт інтересів відповідно до законодавства у сфері запобігання корупції. Національним агентством з питань запобігання корупції антикорупційна експертиза стосовно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акта</w:t>
      </w:r>
      <w:proofErr w:type="spellEnd"/>
      <w:r>
        <w:rPr>
          <w:bCs/>
          <w:sz w:val="28"/>
          <w:szCs w:val="28"/>
          <w:lang w:val="uk-UA"/>
        </w:rPr>
        <w:t xml:space="preserve"> не проводилась. </w:t>
      </w:r>
    </w:p>
    <w:p w:rsidR="008A29BD" w:rsidRDefault="008A29BD" w:rsidP="008A29BD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</w:p>
    <w:p w:rsidR="00DF1255" w:rsidRPr="008A3A06" w:rsidRDefault="00DF1255" w:rsidP="008A0B99">
      <w:pPr>
        <w:widowControl w:val="0"/>
        <w:numPr>
          <w:ilvl w:val="0"/>
          <w:numId w:val="1"/>
        </w:numPr>
        <w:ind w:left="0"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Прогноз результатів</w:t>
      </w:r>
    </w:p>
    <w:p w:rsidR="008A29BD" w:rsidRDefault="008A29BD" w:rsidP="000E5753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Очікується позитивний вплив від реалізації наказу, а саме на учасників освітнього процес, які зацікавлені в отриманні якісних освітніх послуг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і запобігання порушення їх прав і законних інтересі в освітньому процесі;</w:t>
      </w:r>
      <w:r w:rsidRPr="008A29BD">
        <w:rPr>
          <w:sz w:val="28"/>
          <w:lang w:val="uk-UA"/>
        </w:rPr>
        <w:t xml:space="preserve">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на керівників і засновників суб’єктів освітньої діяльності, що забезпечують здобуття дошкільної, позашкільної, професійної (професійно-технічної),</w:t>
      </w:r>
      <w:r w:rsidRPr="008A29BD">
        <w:rPr>
          <w:sz w:val="28"/>
          <w:lang w:val="uk-UA"/>
        </w:rPr>
        <w:t xml:space="preserve">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>, вищої освіти, для яких заздалегідь відома процедура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проведення заходів державного нагляду (контролю) у визначених сферах освіти та які матимуть можливість удосконалювати діяльність суб’єктів освітньої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діяльності для підвищення якості освіти та освітньої діяльності.</w:t>
      </w:r>
    </w:p>
    <w:p w:rsidR="007B7BD5" w:rsidRDefault="008A29BD" w:rsidP="000E5753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Можливими ризиками реалізації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є недостатня поінформованість керівників окремих суб’єктів освітньої діяльності, </w:t>
      </w:r>
      <w:r w:rsidR="000E5753">
        <w:rPr>
          <w:sz w:val="28"/>
          <w:lang w:val="uk-UA"/>
        </w:rPr>
        <w:br/>
      </w:r>
      <w:r w:rsidR="000E5753">
        <w:rPr>
          <w:sz w:val="28"/>
          <w:szCs w:val="28"/>
          <w:lang w:val="uk-UA"/>
        </w:rPr>
        <w:t>що забезпечують здобуття дошкільної, позашкільної, професійної (професійно-технічної),</w:t>
      </w:r>
      <w:r w:rsidR="000E5753" w:rsidRPr="008A29BD">
        <w:rPr>
          <w:sz w:val="28"/>
          <w:lang w:val="uk-UA"/>
        </w:rPr>
        <w:t xml:space="preserve"> </w:t>
      </w:r>
      <w:r w:rsidR="000E5753">
        <w:rPr>
          <w:sz w:val="28"/>
          <w:szCs w:val="28"/>
          <w:lang w:val="uk-UA"/>
        </w:rPr>
        <w:t xml:space="preserve">фахової </w:t>
      </w:r>
      <w:proofErr w:type="spellStart"/>
      <w:r w:rsidR="000E5753">
        <w:rPr>
          <w:sz w:val="28"/>
          <w:szCs w:val="28"/>
          <w:lang w:val="uk-UA"/>
        </w:rPr>
        <w:t>передвищої</w:t>
      </w:r>
      <w:proofErr w:type="spellEnd"/>
      <w:r w:rsidR="000E5753">
        <w:rPr>
          <w:sz w:val="28"/>
          <w:szCs w:val="28"/>
          <w:lang w:val="uk-UA"/>
        </w:rPr>
        <w:t>, вищої освіти, про порядок проведення</w:t>
      </w:r>
      <w:r w:rsidR="000E5753">
        <w:rPr>
          <w:sz w:val="28"/>
          <w:lang w:val="uk-UA"/>
        </w:rPr>
        <w:br/>
      </w:r>
      <w:r w:rsidR="000E5753">
        <w:rPr>
          <w:sz w:val="28"/>
          <w:szCs w:val="28"/>
          <w:lang w:val="uk-UA"/>
        </w:rPr>
        <w:t xml:space="preserve">позапланових перевірок щодо дотримання законодавства у визначених </w:t>
      </w:r>
      <w:r w:rsidR="000E5753">
        <w:rPr>
          <w:sz w:val="28"/>
          <w:lang w:val="uk-UA"/>
        </w:rPr>
        <w:br/>
      </w:r>
      <w:proofErr w:type="spellStart"/>
      <w:r w:rsidR="000E5753">
        <w:rPr>
          <w:sz w:val="28"/>
          <w:szCs w:val="28"/>
          <w:lang w:val="uk-UA"/>
        </w:rPr>
        <w:t>проєктом</w:t>
      </w:r>
      <w:proofErr w:type="spellEnd"/>
      <w:r w:rsidR="000E5753">
        <w:rPr>
          <w:sz w:val="28"/>
          <w:szCs w:val="28"/>
          <w:lang w:val="uk-UA"/>
        </w:rPr>
        <w:t xml:space="preserve"> </w:t>
      </w:r>
      <w:proofErr w:type="spellStart"/>
      <w:r w:rsidR="000E5753">
        <w:rPr>
          <w:sz w:val="28"/>
          <w:szCs w:val="28"/>
          <w:lang w:val="uk-UA"/>
        </w:rPr>
        <w:t>акта</w:t>
      </w:r>
      <w:proofErr w:type="spellEnd"/>
      <w:r w:rsidR="000E5753">
        <w:rPr>
          <w:sz w:val="28"/>
          <w:szCs w:val="28"/>
          <w:lang w:val="uk-UA"/>
        </w:rPr>
        <w:t xml:space="preserve"> сферах освіти. Шляхами мінімізації цих ризиків є інформаційні</w:t>
      </w:r>
      <w:r w:rsidR="000E5753">
        <w:rPr>
          <w:sz w:val="28"/>
          <w:lang w:val="uk-UA"/>
        </w:rPr>
        <w:br/>
      </w:r>
      <w:r w:rsidR="000E5753">
        <w:rPr>
          <w:sz w:val="28"/>
          <w:szCs w:val="28"/>
          <w:lang w:val="uk-UA"/>
        </w:rPr>
        <w:t>заходи, які проводяться Державною службою якості освіти України</w:t>
      </w:r>
      <w:r w:rsidR="000E5753">
        <w:rPr>
          <w:sz w:val="28"/>
          <w:lang w:val="uk-UA"/>
        </w:rPr>
        <w:br/>
      </w:r>
      <w:r w:rsidR="000E5753">
        <w:rPr>
          <w:sz w:val="28"/>
          <w:szCs w:val="28"/>
          <w:lang w:val="uk-UA"/>
        </w:rPr>
        <w:t>та її територ</w:t>
      </w:r>
      <w:r w:rsidR="007B7BD5">
        <w:rPr>
          <w:sz w:val="28"/>
          <w:szCs w:val="28"/>
          <w:lang w:val="uk-UA"/>
        </w:rPr>
        <w:t>іальними органами, а також консультації, які надаються ними</w:t>
      </w:r>
      <w:r w:rsidR="007B7BD5">
        <w:rPr>
          <w:sz w:val="28"/>
          <w:lang w:val="uk-UA"/>
        </w:rPr>
        <w:br/>
      </w:r>
      <w:r w:rsidR="007B7BD5">
        <w:rPr>
          <w:sz w:val="28"/>
          <w:szCs w:val="28"/>
          <w:lang w:val="uk-UA"/>
        </w:rPr>
        <w:t>закладам освіти.</w:t>
      </w:r>
    </w:p>
    <w:p w:rsidR="007B7BD5" w:rsidRDefault="007B7BD5" w:rsidP="000E5753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видання наказу запропоноване регулювання суспільних відносин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не матиме негативного впливу на ринкове середовище, забезпечення прав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та інтересів суб’єктів господарювання, громадян і держави.</w:t>
      </w:r>
    </w:p>
    <w:p w:rsidR="008A29BD" w:rsidRDefault="007B7BD5" w:rsidP="000E5753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наказу не матиме впливу на окремі регіони, підвищення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чи зниження спроможності територіальних громад.</w:t>
      </w:r>
      <w:r w:rsidR="000E5753">
        <w:rPr>
          <w:sz w:val="28"/>
          <w:szCs w:val="28"/>
          <w:lang w:val="uk-UA"/>
        </w:rPr>
        <w:t xml:space="preserve"> </w:t>
      </w:r>
    </w:p>
    <w:p w:rsidR="00DF1255" w:rsidRDefault="007B7BD5" w:rsidP="007B7BD5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наказу</w:t>
      </w:r>
      <w:r w:rsidR="00DF1255" w:rsidRPr="000231B0">
        <w:rPr>
          <w:sz w:val="28"/>
          <w:szCs w:val="28"/>
          <w:lang w:val="uk-UA"/>
        </w:rPr>
        <w:t xml:space="preserve"> не матим</w:t>
      </w:r>
      <w:r>
        <w:rPr>
          <w:sz w:val="28"/>
          <w:szCs w:val="28"/>
          <w:lang w:val="uk-UA"/>
        </w:rPr>
        <w:t>е впливу на ринок праці</w:t>
      </w:r>
      <w:r w:rsidR="00DF1255" w:rsidRPr="000231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рівень зайнятості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населення; громадське здоров’я, покращення чи погіршення стану здоров’я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населення; громадське здоров’я, покращення чи погіршення стану здоров’я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населення або його окремих груп; екологію та навколишнє природне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 xml:space="preserve">середовище, обсяг природних ресурсів, рівень забруднення атмосферного </w:t>
      </w:r>
      <w:r>
        <w:rPr>
          <w:sz w:val="28"/>
          <w:lang w:val="uk-UA"/>
        </w:rPr>
        <w:br/>
      </w:r>
      <w:r>
        <w:rPr>
          <w:sz w:val="28"/>
          <w:szCs w:val="28"/>
          <w:lang w:val="uk-UA"/>
        </w:rPr>
        <w:t>повітря, води, земель, зокрема забруднення утвореними відходами.</w:t>
      </w:r>
    </w:p>
    <w:p w:rsidR="00434F0D" w:rsidRPr="000231B0" w:rsidRDefault="00434F0D" w:rsidP="007B7BD5">
      <w:pPr>
        <w:widowControl w:val="0"/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2005"/>
        <w:gridCol w:w="5367"/>
      </w:tblGrid>
      <w:tr w:rsidR="00DF1255" w:rsidRPr="001F27B7" w:rsidTr="007B7BD5"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1255" w:rsidRPr="007B7BD5" w:rsidRDefault="00DF1255" w:rsidP="007B7BD5">
            <w:pPr>
              <w:jc w:val="center"/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 xml:space="preserve">Заінтересована            </w:t>
            </w:r>
          </w:p>
          <w:p w:rsidR="00DF1255" w:rsidRPr="007B7BD5" w:rsidRDefault="00DF1255" w:rsidP="007B7BD5">
            <w:pPr>
              <w:jc w:val="center"/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 xml:space="preserve">сторона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7BD5" w:rsidRDefault="00DF1255" w:rsidP="007B7BD5">
            <w:pPr>
              <w:jc w:val="center"/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>Вплив реалізації</w:t>
            </w:r>
          </w:p>
          <w:p w:rsidR="007B7BD5" w:rsidRDefault="007B7BD5" w:rsidP="007B7BD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="00DF1255" w:rsidRPr="007B7BD5">
              <w:rPr>
                <w:sz w:val="28"/>
                <w:szCs w:val="28"/>
                <w:lang w:val="uk-UA"/>
              </w:rPr>
              <w:t>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DF1255" w:rsidRPr="007B7BD5">
              <w:rPr>
                <w:sz w:val="28"/>
                <w:szCs w:val="28"/>
                <w:lang w:val="uk-UA"/>
              </w:rPr>
              <w:t xml:space="preserve">на </w:t>
            </w:r>
          </w:p>
          <w:p w:rsidR="007B7BD5" w:rsidRDefault="00DF1255" w:rsidP="007B7BD5">
            <w:pPr>
              <w:jc w:val="center"/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 xml:space="preserve">заінтересовану </w:t>
            </w:r>
          </w:p>
          <w:p w:rsidR="00DF1255" w:rsidRPr="007B7BD5" w:rsidRDefault="00DF1255" w:rsidP="007B7BD5">
            <w:pPr>
              <w:jc w:val="center"/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>сторону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F1255" w:rsidRPr="007B7BD5" w:rsidRDefault="00DF1255" w:rsidP="007B7BD5">
            <w:pPr>
              <w:jc w:val="center"/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 xml:space="preserve">Пояснення очікуваного       </w:t>
            </w:r>
          </w:p>
          <w:p w:rsidR="00DF1255" w:rsidRPr="007B7BD5" w:rsidRDefault="00DF1255" w:rsidP="007B7BD5">
            <w:pPr>
              <w:jc w:val="center"/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 xml:space="preserve"> впливу</w:t>
            </w:r>
          </w:p>
        </w:tc>
      </w:tr>
      <w:tr w:rsidR="00DF1255" w:rsidRPr="001F27B7" w:rsidTr="007B7BD5">
        <w:trPr>
          <w:trHeight w:val="38"/>
        </w:trPr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BD5" w:rsidRDefault="00DF1255" w:rsidP="007B7BD5">
            <w:pPr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 xml:space="preserve">Здобувачі </w:t>
            </w:r>
          </w:p>
          <w:p w:rsidR="00DF1255" w:rsidRDefault="007B7BD5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DF1255" w:rsidRPr="007B7BD5">
              <w:rPr>
                <w:sz w:val="28"/>
                <w:szCs w:val="28"/>
                <w:lang w:val="uk-UA"/>
              </w:rPr>
              <w:t>світи</w:t>
            </w:r>
            <w:r>
              <w:rPr>
                <w:sz w:val="28"/>
                <w:szCs w:val="28"/>
                <w:lang w:val="uk-UA"/>
              </w:rPr>
              <w:t>, їхні</w:t>
            </w:r>
          </w:p>
          <w:p w:rsidR="007B7BD5" w:rsidRDefault="007B7BD5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батьки, інші</w:t>
            </w:r>
          </w:p>
          <w:p w:rsidR="007B7BD5" w:rsidRDefault="007B7BD5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законні</w:t>
            </w:r>
          </w:p>
          <w:p w:rsidR="007B7BD5" w:rsidRPr="007B7BD5" w:rsidRDefault="007B7BD5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1255" w:rsidRPr="001F27B7" w:rsidRDefault="00DF1255" w:rsidP="007B7BD5">
            <w:pPr>
              <w:jc w:val="center"/>
              <w:rPr>
                <w:rFonts w:eastAsia="Times New Roman"/>
              </w:rPr>
            </w:pPr>
            <w:r w:rsidRPr="007B7BD5">
              <w:rPr>
                <w:sz w:val="28"/>
                <w:szCs w:val="28"/>
                <w:lang w:val="uk-UA"/>
              </w:rPr>
              <w:lastRenderedPageBreak/>
              <w:t>Позитивний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1255" w:rsidRDefault="007B7BD5" w:rsidP="007B7BD5">
            <w:pPr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>Для здобувачів освіти, їх батьків, інших законних пред</w:t>
            </w:r>
            <w:bookmarkStart w:id="0" w:name="_GoBack"/>
            <w:bookmarkEnd w:id="0"/>
            <w:r w:rsidRPr="007B7BD5">
              <w:rPr>
                <w:sz w:val="28"/>
                <w:szCs w:val="28"/>
                <w:lang w:val="uk-UA"/>
              </w:rPr>
              <w:t xml:space="preserve">ставників забезпечується права на якісні освітні послуги, захист, </w:t>
            </w:r>
          </w:p>
          <w:p w:rsidR="007B7BD5" w:rsidRDefault="007B7BD5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відповідно до законодавства, прав та</w:t>
            </w:r>
          </w:p>
          <w:p w:rsidR="007B7BD5" w:rsidRPr="007B7BD5" w:rsidRDefault="007B7BD5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законних інтересів здобувачів освіти </w:t>
            </w:r>
          </w:p>
        </w:tc>
      </w:tr>
      <w:tr w:rsidR="00DF1255" w:rsidRPr="007B7BD5" w:rsidTr="007B7BD5">
        <w:trPr>
          <w:trHeight w:val="491"/>
        </w:trPr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1255" w:rsidRPr="007B7BD5" w:rsidRDefault="007B7BD5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Керівники та засновники суб’єктів освітньої діяльності, що забезпечують здобуття дошкільної, позашкільної, професійної (професійно-технічної),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DA6072">
              <w:rPr>
                <w:sz w:val="28"/>
                <w:szCs w:val="28"/>
                <w:lang w:val="uk-UA"/>
              </w:rPr>
              <w:t>вищої освіти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1255" w:rsidRPr="007B7BD5" w:rsidRDefault="00DF1255" w:rsidP="007B7BD5">
            <w:pPr>
              <w:rPr>
                <w:sz w:val="28"/>
                <w:szCs w:val="28"/>
                <w:lang w:val="uk-UA"/>
              </w:rPr>
            </w:pPr>
            <w:r w:rsidRPr="007B7BD5">
              <w:rPr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1255" w:rsidRDefault="00DA6072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керівників і засновників суб’єктів 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освітньої діяльності, що забезпечують здобуття дошкільної, позашкільної, професійної (професійно-технічної),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вищої освіти, процедура проведення заходів державного нагляду (контролю) у визначених сферах 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освіти є заздалегідь відомою, вони можуть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користуватись можливістю надати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зауваження до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перевірки та погодити 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терміни усунення виявлених порушень, а 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також удосконалювати діяльність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суб’єктів освітньої діяльності для</w:t>
            </w:r>
          </w:p>
          <w:p w:rsidR="00DA6072" w:rsidRPr="007B7BD5" w:rsidRDefault="00DA6072" w:rsidP="007B7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належної якості освіти та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освітньої діяльності</w:t>
            </w:r>
          </w:p>
        </w:tc>
      </w:tr>
    </w:tbl>
    <w:p w:rsidR="00DF1255" w:rsidRPr="007B7BD5" w:rsidRDefault="00DF1255" w:rsidP="007B7BD5">
      <w:pPr>
        <w:rPr>
          <w:sz w:val="28"/>
          <w:szCs w:val="28"/>
          <w:lang w:val="uk-UA"/>
        </w:rPr>
      </w:pPr>
    </w:p>
    <w:p w:rsidR="00DF1255" w:rsidRDefault="00DF1255" w:rsidP="00DF1255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</w:p>
    <w:p w:rsidR="00DA6072" w:rsidRDefault="00DA6072" w:rsidP="00DF1255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</w:p>
    <w:p w:rsidR="00DA6072" w:rsidRPr="00181962" w:rsidRDefault="00DA6072" w:rsidP="00DF1255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941"/>
        <w:gridCol w:w="3662"/>
      </w:tblGrid>
      <w:tr w:rsidR="00DF1255" w:rsidRPr="00181962" w:rsidTr="007B7BD5">
        <w:tc>
          <w:tcPr>
            <w:tcW w:w="6048" w:type="dxa"/>
          </w:tcPr>
          <w:p w:rsidR="00DF1255" w:rsidRPr="00DA6072" w:rsidRDefault="00DF1255" w:rsidP="007B7BD5">
            <w:pPr>
              <w:ind w:right="28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A6072">
              <w:rPr>
                <w:b/>
                <w:bCs/>
                <w:sz w:val="28"/>
                <w:szCs w:val="28"/>
                <w:lang w:val="uk-UA"/>
              </w:rPr>
              <w:t>Міністр</w:t>
            </w:r>
            <w:r w:rsidR="00DA6072" w:rsidRPr="00DA6072">
              <w:rPr>
                <w:b/>
                <w:bCs/>
                <w:sz w:val="28"/>
                <w:szCs w:val="28"/>
                <w:lang w:val="uk-UA"/>
              </w:rPr>
              <w:t xml:space="preserve"> освіти і науки України</w:t>
            </w:r>
          </w:p>
          <w:p w:rsidR="00DA6072" w:rsidRDefault="00DA6072" w:rsidP="007B7BD5">
            <w:pPr>
              <w:ind w:right="285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072" w:rsidRPr="00181962" w:rsidRDefault="00DA6072" w:rsidP="007B7BD5">
            <w:pPr>
              <w:ind w:right="285"/>
              <w:jc w:val="both"/>
              <w:rPr>
                <w:bCs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«____»________________2021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ркоу</w:t>
            </w:r>
            <w:proofErr w:type="spellEnd"/>
          </w:p>
        </w:tc>
        <w:tc>
          <w:tcPr>
            <w:tcW w:w="3780" w:type="dxa"/>
          </w:tcPr>
          <w:p w:rsidR="00DF1255" w:rsidRPr="00DA6072" w:rsidRDefault="00DF1255" w:rsidP="007B7BD5">
            <w:pPr>
              <w:jc w:val="right"/>
              <w:rPr>
                <w:b/>
                <w:bCs/>
                <w:spacing w:val="-1"/>
                <w:sz w:val="28"/>
                <w:szCs w:val="28"/>
                <w:lang w:val="uk-UA"/>
              </w:rPr>
            </w:pPr>
            <w:r w:rsidRPr="00DA6072">
              <w:rPr>
                <w:b/>
                <w:bCs/>
                <w:sz w:val="28"/>
                <w:szCs w:val="28"/>
                <w:lang w:val="uk-UA"/>
              </w:rPr>
              <w:t>Сергій ШКАРЛЕТ</w:t>
            </w:r>
          </w:p>
        </w:tc>
      </w:tr>
    </w:tbl>
    <w:p w:rsidR="00DF1255" w:rsidRPr="00181962" w:rsidRDefault="00DF1255" w:rsidP="00DF1255">
      <w:pPr>
        <w:rPr>
          <w:sz w:val="28"/>
          <w:szCs w:val="28"/>
          <w:lang w:val="uk-UA"/>
        </w:rPr>
      </w:pPr>
    </w:p>
    <w:p w:rsidR="00334846" w:rsidRDefault="00334846"/>
    <w:sectPr w:rsidR="00334846" w:rsidSect="00434F0D">
      <w:headerReference w:type="default" r:id="rId8"/>
      <w:pgSz w:w="11906" w:h="16838"/>
      <w:pgMar w:top="851" w:right="1133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F0D">
      <w:r>
        <w:separator/>
      </w:r>
    </w:p>
  </w:endnote>
  <w:endnote w:type="continuationSeparator" w:id="0">
    <w:p w:rsidR="00000000" w:rsidRDefault="0043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4F0D">
      <w:r>
        <w:separator/>
      </w:r>
    </w:p>
  </w:footnote>
  <w:footnote w:type="continuationSeparator" w:id="0">
    <w:p w:rsidR="00000000" w:rsidRDefault="0043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D5" w:rsidRDefault="007B7BD5" w:rsidP="007B7B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4F0D" w:rsidRPr="00434F0D">
      <w:rPr>
        <w:noProof/>
        <w:lang w:val="uk-UA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0010"/>
    <w:multiLevelType w:val="hybridMultilevel"/>
    <w:tmpl w:val="BF06E142"/>
    <w:lvl w:ilvl="0" w:tplc="2C68D9F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D"/>
    <w:rsid w:val="000E5753"/>
    <w:rsid w:val="00210DDC"/>
    <w:rsid w:val="00334846"/>
    <w:rsid w:val="00434F0D"/>
    <w:rsid w:val="00573798"/>
    <w:rsid w:val="0058385B"/>
    <w:rsid w:val="007B7BD5"/>
    <w:rsid w:val="007E5E91"/>
    <w:rsid w:val="008A0B99"/>
    <w:rsid w:val="008A29BD"/>
    <w:rsid w:val="0092283E"/>
    <w:rsid w:val="009C4A76"/>
    <w:rsid w:val="00BE71BD"/>
    <w:rsid w:val="00DA6072"/>
    <w:rsid w:val="00DF1255"/>
    <w:rsid w:val="00E5609B"/>
    <w:rsid w:val="00E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267"/>
  <w15:chartTrackingRefBased/>
  <w15:docId w15:val="{84B5E9D2-E105-48AD-9F15-BBF6465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5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F1255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rvts0">
    <w:name w:val="rvts0"/>
    <w:rsid w:val="00DF1255"/>
  </w:style>
  <w:style w:type="paragraph" w:styleId="a5">
    <w:name w:val="footer"/>
    <w:basedOn w:val="a"/>
    <w:link w:val="a6"/>
    <w:uiPriority w:val="99"/>
    <w:unhideWhenUsed/>
    <w:rsid w:val="00434F0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34F0D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7">
    <w:name w:val="Balloon Text"/>
    <w:basedOn w:val="a"/>
    <w:link w:val="a8"/>
    <w:uiPriority w:val="99"/>
    <w:semiHidden/>
    <w:unhideWhenUsed/>
    <w:rsid w:val="00434F0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4F0D"/>
    <w:rPr>
      <w:rFonts w:ascii="Segoe UI" w:eastAsia="MS Mincho" w:hAnsi="Segoe UI" w:cs="Segoe UI"/>
      <w:sz w:val="18"/>
      <w:szCs w:val="1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805B-F220-4188-9ABC-EAA57AF5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7289</Words>
  <Characters>4155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2021-07-16T07:29:00Z</cp:lastPrinted>
  <dcterms:created xsi:type="dcterms:W3CDTF">2021-07-15T09:00:00Z</dcterms:created>
  <dcterms:modified xsi:type="dcterms:W3CDTF">2021-07-16T07:30:00Z</dcterms:modified>
</cp:coreProperties>
</file>