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C47E" w14:textId="77777777" w:rsidR="00C802C9" w:rsidRPr="00C802C9" w:rsidRDefault="00C802C9" w:rsidP="00C802C9">
      <w:pPr>
        <w:shd w:val="clear" w:color="auto" w:fill="F9F9F9"/>
        <w:spacing w:before="600" w:after="600" w:line="240" w:lineRule="auto"/>
        <w:jc w:val="center"/>
        <w:outlineLvl w:val="0"/>
        <w:rPr>
          <w:rFonts w:ascii="Open Sans" w:eastAsia="Times New Roman" w:hAnsi="Open Sans" w:cs="Open Sans"/>
          <w:b/>
          <w:bCs/>
          <w:caps/>
          <w:color w:val="5A5A5A"/>
          <w:kern w:val="36"/>
          <w:sz w:val="48"/>
          <w:szCs w:val="48"/>
          <w:lang w:val="ru-UA" w:eastAsia="ru-UA"/>
        </w:rPr>
      </w:pPr>
      <w:r w:rsidRPr="00C802C9">
        <w:rPr>
          <w:rFonts w:ascii="Open Sans" w:eastAsia="Times New Roman" w:hAnsi="Open Sans" w:cs="Open Sans"/>
          <w:b/>
          <w:bCs/>
          <w:caps/>
          <w:color w:val="5A5A5A"/>
          <w:kern w:val="36"/>
          <w:sz w:val="48"/>
          <w:szCs w:val="48"/>
          <w:lang w:val="ru-UA" w:eastAsia="ru-UA"/>
        </w:rPr>
        <w:t>ПОЛОЖЕННЯ ПРО ІІ ВСЕУКРАЇНСЬКИЙ КОНКУРС КЕРІВНИКІВ ЗАКЛАДІВ ОСВІТИ «ДИРЕКТОР 2021: НАЙКРАЩА ПРАКТИКА»</w:t>
      </w:r>
    </w:p>
    <w:p w14:paraId="23BDD35E" w14:textId="77777777" w:rsidR="00C802C9" w:rsidRPr="00C802C9" w:rsidRDefault="00C802C9" w:rsidP="00C802C9">
      <w:pPr>
        <w:shd w:val="clear" w:color="auto" w:fill="F9F9F9"/>
        <w:spacing w:before="100" w:beforeAutospacing="1" w:after="100" w:afterAutospacing="1" w:line="360" w:lineRule="atLeast"/>
        <w:outlineLvl w:val="2"/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</w:pPr>
      <w:r w:rsidRPr="00C802C9"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  <w:t xml:space="preserve">1. </w:t>
      </w:r>
      <w:proofErr w:type="spellStart"/>
      <w:r w:rsidRPr="00C802C9"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  <w:t>Загальні</w:t>
      </w:r>
      <w:proofErr w:type="spellEnd"/>
      <w:r w:rsidRPr="00C802C9"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  <w:t>положення</w:t>
      </w:r>
      <w:proofErr w:type="spellEnd"/>
    </w:p>
    <w:p w14:paraId="44627C77" w14:textId="77777777" w:rsidR="00C802C9" w:rsidRPr="00C802C9" w:rsidRDefault="00C802C9" w:rsidP="00C802C9">
      <w:pPr>
        <w:shd w:val="clear" w:color="auto" w:fill="F9F9F9"/>
        <w:spacing w:before="300"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1.1. ІІ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Всеукраїнський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конкурс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керівників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закладів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освіти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«Директор 2021: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найкраща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практика» (</w:t>
      </w:r>
      <w:proofErr w:type="spellStart"/>
      <w:r w:rsidRPr="00C802C9">
        <w:rPr>
          <w:rFonts w:ascii="Open Sans" w:eastAsia="Times New Roman" w:hAnsi="Open Sans" w:cs="Open Sans"/>
          <w:i/>
          <w:iCs/>
          <w:color w:val="5A5A5A"/>
          <w:sz w:val="24"/>
          <w:szCs w:val="24"/>
          <w:lang w:val="ru-UA" w:eastAsia="ru-UA"/>
        </w:rPr>
        <w:t>далі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 — Конкурс) для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директорів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закладів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дошкільної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та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загальної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середньої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освіти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організовують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журнали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«</w:t>
      </w:r>
      <w:hyperlink r:id="rId5" w:tgtFrame="_blank" w:history="1">
        <w:r w:rsidRPr="00C802C9">
          <w:rPr>
            <w:rFonts w:ascii="Open Sans" w:eastAsia="Times New Roman" w:hAnsi="Open Sans" w:cs="Open Sans"/>
            <w:color w:val="5A5A5A"/>
            <w:sz w:val="24"/>
            <w:szCs w:val="24"/>
            <w:u w:val="single"/>
            <w:lang w:val="ru-UA" w:eastAsia="ru-UA"/>
          </w:rPr>
          <w:t xml:space="preserve">Практика </w:t>
        </w:r>
        <w:proofErr w:type="spellStart"/>
        <w:r w:rsidRPr="00C802C9">
          <w:rPr>
            <w:rFonts w:ascii="Open Sans" w:eastAsia="Times New Roman" w:hAnsi="Open Sans" w:cs="Open Sans"/>
            <w:color w:val="5A5A5A"/>
            <w:sz w:val="24"/>
            <w:szCs w:val="24"/>
            <w:u w:val="single"/>
            <w:lang w:val="ru-UA" w:eastAsia="ru-UA"/>
          </w:rPr>
          <w:t>управління</w:t>
        </w:r>
        <w:proofErr w:type="spellEnd"/>
        <w:r w:rsidRPr="00C802C9">
          <w:rPr>
            <w:rFonts w:ascii="Open Sans" w:eastAsia="Times New Roman" w:hAnsi="Open Sans" w:cs="Open Sans"/>
            <w:color w:val="5A5A5A"/>
            <w:sz w:val="24"/>
            <w:szCs w:val="24"/>
            <w:u w:val="single"/>
            <w:lang w:val="ru-UA" w:eastAsia="ru-UA"/>
          </w:rPr>
          <w:t xml:space="preserve"> закладом </w:t>
        </w:r>
        <w:proofErr w:type="spellStart"/>
        <w:r w:rsidRPr="00C802C9">
          <w:rPr>
            <w:rFonts w:ascii="Open Sans" w:eastAsia="Times New Roman" w:hAnsi="Open Sans" w:cs="Open Sans"/>
            <w:color w:val="5A5A5A"/>
            <w:sz w:val="24"/>
            <w:szCs w:val="24"/>
            <w:u w:val="single"/>
            <w:lang w:val="ru-UA" w:eastAsia="ru-UA"/>
          </w:rPr>
          <w:t>освіти</w:t>
        </w:r>
        <w:proofErr w:type="spellEnd"/>
      </w:hyperlink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» та «</w:t>
      </w:r>
      <w:hyperlink r:id="rId6" w:tgtFrame="_blank" w:history="1">
        <w:r w:rsidRPr="00C802C9">
          <w:rPr>
            <w:rFonts w:ascii="Open Sans" w:eastAsia="Times New Roman" w:hAnsi="Open Sans" w:cs="Open Sans"/>
            <w:color w:val="5A5A5A"/>
            <w:sz w:val="24"/>
            <w:szCs w:val="24"/>
            <w:u w:val="single"/>
            <w:lang w:val="ru-UA" w:eastAsia="ru-UA"/>
          </w:rPr>
          <w:t xml:space="preserve">Практика </w:t>
        </w:r>
        <w:proofErr w:type="spellStart"/>
        <w:r w:rsidRPr="00C802C9">
          <w:rPr>
            <w:rFonts w:ascii="Open Sans" w:eastAsia="Times New Roman" w:hAnsi="Open Sans" w:cs="Open Sans"/>
            <w:color w:val="5A5A5A"/>
            <w:sz w:val="24"/>
            <w:szCs w:val="24"/>
            <w:u w:val="single"/>
            <w:lang w:val="ru-UA" w:eastAsia="ru-UA"/>
          </w:rPr>
          <w:t>управління</w:t>
        </w:r>
        <w:proofErr w:type="spellEnd"/>
        <w:r w:rsidRPr="00C802C9">
          <w:rPr>
            <w:rFonts w:ascii="Open Sans" w:eastAsia="Times New Roman" w:hAnsi="Open Sans" w:cs="Open Sans"/>
            <w:color w:val="5A5A5A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C802C9">
          <w:rPr>
            <w:rFonts w:ascii="Open Sans" w:eastAsia="Times New Roman" w:hAnsi="Open Sans" w:cs="Open Sans"/>
            <w:color w:val="5A5A5A"/>
            <w:sz w:val="24"/>
            <w:szCs w:val="24"/>
            <w:u w:val="single"/>
            <w:lang w:val="ru-UA" w:eastAsia="ru-UA"/>
          </w:rPr>
          <w:t>дошкільним</w:t>
        </w:r>
        <w:proofErr w:type="spellEnd"/>
        <w:r w:rsidRPr="00C802C9">
          <w:rPr>
            <w:rFonts w:ascii="Open Sans" w:eastAsia="Times New Roman" w:hAnsi="Open Sans" w:cs="Open Sans"/>
            <w:color w:val="5A5A5A"/>
            <w:sz w:val="24"/>
            <w:szCs w:val="24"/>
            <w:u w:val="single"/>
            <w:lang w:val="ru-UA" w:eastAsia="ru-UA"/>
          </w:rPr>
          <w:t xml:space="preserve"> закладом</w:t>
        </w:r>
      </w:hyperlink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» Цифрового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видавництва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MCFR (</w:t>
      </w:r>
      <w:proofErr w:type="spellStart"/>
      <w:r w:rsidRPr="00C802C9">
        <w:rPr>
          <w:rFonts w:ascii="Open Sans" w:eastAsia="Times New Roman" w:hAnsi="Open Sans" w:cs="Open Sans"/>
          <w:i/>
          <w:iCs/>
          <w:color w:val="5A5A5A"/>
          <w:sz w:val="24"/>
          <w:szCs w:val="24"/>
          <w:lang w:val="ru-UA" w:eastAsia="ru-UA"/>
        </w:rPr>
        <w:t>далі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 — MCFR) за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підтримки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Державної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служби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якості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освіти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України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(</w:t>
      </w:r>
      <w:proofErr w:type="spellStart"/>
      <w:r w:rsidRPr="00C802C9">
        <w:rPr>
          <w:rFonts w:ascii="Open Sans" w:eastAsia="Times New Roman" w:hAnsi="Open Sans" w:cs="Open Sans"/>
          <w:i/>
          <w:iCs/>
          <w:color w:val="5A5A5A"/>
          <w:sz w:val="24"/>
          <w:szCs w:val="24"/>
          <w:lang w:val="ru-UA" w:eastAsia="ru-UA"/>
        </w:rPr>
        <w:t>далі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 — Служба).</w:t>
      </w:r>
    </w:p>
    <w:p w14:paraId="114DA75E" w14:textId="77777777" w:rsidR="00C802C9" w:rsidRPr="00C802C9" w:rsidRDefault="00C802C9" w:rsidP="00C802C9">
      <w:pPr>
        <w:shd w:val="clear" w:color="auto" w:fill="F9F9F9"/>
        <w:spacing w:before="300"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1.2. Конкурс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присвячено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питанню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побудови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внутрішньої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системи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забезпечення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якості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освіти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в закладах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дошкільної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та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загальної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середньої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освіти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.</w:t>
      </w:r>
    </w:p>
    <w:p w14:paraId="6B1A7539" w14:textId="77777777" w:rsidR="00C802C9" w:rsidRPr="00C802C9" w:rsidRDefault="00C802C9" w:rsidP="00C802C9">
      <w:pPr>
        <w:shd w:val="clear" w:color="auto" w:fill="F9F9F9"/>
        <w:spacing w:before="300"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1.3. Мета Конкурсу —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виявити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найкращі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практики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управлінських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процесів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у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закладі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освіти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дієві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підходи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до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їх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оцінювання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зокрема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політики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та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процедури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забезпечення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якості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управлінської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діяльності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відповідно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до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специфіки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діяльності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закладу.</w:t>
      </w:r>
    </w:p>
    <w:p w14:paraId="710FEEC2" w14:textId="77777777" w:rsidR="00C802C9" w:rsidRPr="00C802C9" w:rsidRDefault="00C802C9" w:rsidP="00C802C9">
      <w:pPr>
        <w:shd w:val="clear" w:color="auto" w:fill="F9F9F9"/>
        <w:spacing w:before="300"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Завдання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Конкурсу:</w:t>
      </w:r>
    </w:p>
    <w:p w14:paraId="0B478DC7" w14:textId="77777777" w:rsidR="00C802C9" w:rsidRPr="00C802C9" w:rsidRDefault="00C802C9" w:rsidP="00C802C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популяризувати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найкращі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практики з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управлінської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діяльності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;</w:t>
      </w:r>
    </w:p>
    <w:p w14:paraId="5316C42A" w14:textId="77777777" w:rsidR="00C802C9" w:rsidRPr="00C802C9" w:rsidRDefault="00C802C9" w:rsidP="00C802C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залучити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директорів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до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участі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в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засіданнях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робочих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груп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та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розроблення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проєктів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нормативних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документів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Служби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до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участі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у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проведенні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інституційних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аудитів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.</w:t>
      </w:r>
    </w:p>
    <w:p w14:paraId="2B7053EE" w14:textId="77777777" w:rsidR="00C802C9" w:rsidRPr="00C802C9" w:rsidRDefault="00C802C9" w:rsidP="00C802C9">
      <w:pPr>
        <w:shd w:val="clear" w:color="auto" w:fill="F9F9F9"/>
        <w:spacing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br/>
      </w:r>
    </w:p>
    <w:p w14:paraId="0F508EAE" w14:textId="77777777" w:rsidR="00C802C9" w:rsidRPr="00C802C9" w:rsidRDefault="00C802C9" w:rsidP="00C802C9">
      <w:pPr>
        <w:shd w:val="clear" w:color="auto" w:fill="F9F9F9"/>
        <w:spacing w:before="100" w:beforeAutospacing="1" w:after="100" w:afterAutospacing="1" w:line="360" w:lineRule="atLeast"/>
        <w:outlineLvl w:val="2"/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</w:pPr>
      <w:r w:rsidRPr="00C802C9"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  <w:t xml:space="preserve">2. </w:t>
      </w:r>
      <w:proofErr w:type="spellStart"/>
      <w:r w:rsidRPr="00C802C9"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  <w:t>Учасники</w:t>
      </w:r>
      <w:proofErr w:type="spellEnd"/>
      <w:r w:rsidRPr="00C802C9"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  <w:t xml:space="preserve"> Конкурсу та </w:t>
      </w:r>
      <w:proofErr w:type="spellStart"/>
      <w:r w:rsidRPr="00C802C9"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  <w:t>конкурсні</w:t>
      </w:r>
      <w:proofErr w:type="spellEnd"/>
      <w:r w:rsidRPr="00C802C9"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  <w:t>роботи</w:t>
      </w:r>
      <w:proofErr w:type="spellEnd"/>
    </w:p>
    <w:p w14:paraId="207E6C0D" w14:textId="77777777" w:rsidR="00C802C9" w:rsidRPr="00C802C9" w:rsidRDefault="00C802C9" w:rsidP="00C802C9">
      <w:pPr>
        <w:shd w:val="clear" w:color="auto" w:fill="F9F9F9"/>
        <w:spacing w:before="300"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lastRenderedPageBreak/>
        <w:t xml:space="preserve">2.1.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Учасниками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Конкурсу є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директори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закладів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дошкільної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освіти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загальної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середньої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освіти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різних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типів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та форм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власності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які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виявили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бажання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підвищити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професійний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рівень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з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питань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забезпечення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якості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зокрема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управлінських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.</w:t>
      </w:r>
    </w:p>
    <w:p w14:paraId="2D03E319" w14:textId="77777777" w:rsidR="00C802C9" w:rsidRPr="00C802C9" w:rsidRDefault="00C802C9" w:rsidP="00C802C9">
      <w:pPr>
        <w:shd w:val="clear" w:color="auto" w:fill="F9F9F9"/>
        <w:spacing w:before="300"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2.2.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Учасники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мають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право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консультуватися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з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працівниками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Служби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брати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участь у заходах,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організованих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MCFR та Службою,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ініціювати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проведення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заходів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на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базі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закладів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освіти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у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яких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працюють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.</w:t>
      </w:r>
    </w:p>
    <w:p w14:paraId="092C0EA7" w14:textId="77777777" w:rsidR="00C802C9" w:rsidRPr="00C802C9" w:rsidRDefault="00C802C9" w:rsidP="00C802C9">
      <w:pPr>
        <w:shd w:val="clear" w:color="auto" w:fill="F9F9F9"/>
        <w:spacing w:before="300"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2.3. До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участі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в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Конкурсі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приймаються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оригінальні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авторські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розробки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з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управлінських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питань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з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описом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практичної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діяльності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прикладами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локальних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документів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та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підтвердженням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показників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результативності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: «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було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— стало».</w:t>
      </w:r>
    </w:p>
    <w:p w14:paraId="7A3AC49A" w14:textId="77777777" w:rsidR="00C802C9" w:rsidRPr="00C802C9" w:rsidRDefault="00C802C9" w:rsidP="00C802C9">
      <w:pPr>
        <w:shd w:val="clear" w:color="auto" w:fill="F9F9F9"/>
        <w:spacing w:before="300"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2.4.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Конкурсна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робота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може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висвітлювати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як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цілісну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внутрішню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систему з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управлінських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процесів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закладу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освіти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так і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окремі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її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аспекти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.</w:t>
      </w:r>
    </w:p>
    <w:p w14:paraId="3B954108" w14:textId="77777777" w:rsidR="00C802C9" w:rsidRPr="00C802C9" w:rsidRDefault="00C802C9" w:rsidP="00C802C9">
      <w:pPr>
        <w:shd w:val="clear" w:color="auto" w:fill="F9F9F9"/>
        <w:spacing w:before="300"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2.5. До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розгляду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приймаються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роботи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які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відповідають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темі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конкурсу та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пройшли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перевірку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на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академічну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доброчесність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зокрема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які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не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публікували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в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інших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виданнях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і не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викладали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в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інтернеті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.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Конкурсні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роботи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повинні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відповідати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загальновизнаним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вимогам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нормам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етики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та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законодавству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України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.</w:t>
      </w:r>
    </w:p>
    <w:p w14:paraId="67EC97C3" w14:textId="77777777" w:rsidR="00C802C9" w:rsidRPr="00C802C9" w:rsidRDefault="00C802C9" w:rsidP="00C802C9">
      <w:pPr>
        <w:shd w:val="clear" w:color="auto" w:fill="F9F9F9"/>
        <w:spacing w:before="300"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2.6.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Відповідальність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за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дотримання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авторського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права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несе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автор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конкурсної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роботи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згідно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із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законодавством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України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.</w:t>
      </w:r>
    </w:p>
    <w:p w14:paraId="7A86F518" w14:textId="77777777" w:rsidR="00C802C9" w:rsidRPr="00C802C9" w:rsidRDefault="00C802C9" w:rsidP="00C802C9">
      <w:pPr>
        <w:shd w:val="clear" w:color="auto" w:fill="F9F9F9"/>
        <w:spacing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br/>
      </w:r>
    </w:p>
    <w:p w14:paraId="26759115" w14:textId="77777777" w:rsidR="00C802C9" w:rsidRPr="00C802C9" w:rsidRDefault="00C802C9" w:rsidP="00C802C9">
      <w:pPr>
        <w:shd w:val="clear" w:color="auto" w:fill="F9F9F9"/>
        <w:spacing w:before="100" w:beforeAutospacing="1" w:after="100" w:afterAutospacing="1" w:line="360" w:lineRule="atLeast"/>
        <w:outlineLvl w:val="2"/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</w:pPr>
      <w:r w:rsidRPr="00C802C9"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  <w:t xml:space="preserve">3. Порядок </w:t>
      </w:r>
      <w:proofErr w:type="spellStart"/>
      <w:r w:rsidRPr="00C802C9"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  <w:t>проведення</w:t>
      </w:r>
      <w:proofErr w:type="spellEnd"/>
      <w:r w:rsidRPr="00C802C9"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  <w:t xml:space="preserve"> Конкурсу та </w:t>
      </w:r>
      <w:proofErr w:type="spellStart"/>
      <w:r w:rsidRPr="00C802C9"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  <w:t>визначення</w:t>
      </w:r>
      <w:proofErr w:type="spellEnd"/>
      <w:r w:rsidRPr="00C802C9"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  <w:t>переможців</w:t>
      </w:r>
      <w:proofErr w:type="spellEnd"/>
    </w:p>
    <w:p w14:paraId="074B93BF" w14:textId="77777777" w:rsidR="00C802C9" w:rsidRPr="00C802C9" w:rsidRDefault="00C802C9" w:rsidP="00C802C9">
      <w:pPr>
        <w:shd w:val="clear" w:color="auto" w:fill="F9F9F9"/>
        <w:spacing w:before="300"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3.1. Конкурс проходить в один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етап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.</w:t>
      </w:r>
    </w:p>
    <w:p w14:paraId="796FB3F1" w14:textId="77777777" w:rsidR="00C802C9" w:rsidRPr="00C802C9" w:rsidRDefault="00C802C9" w:rsidP="00C802C9">
      <w:pPr>
        <w:shd w:val="clear" w:color="auto" w:fill="F9F9F9"/>
        <w:spacing w:before="300"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3.2. Заявки та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конкурсні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роботи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приймаються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з 1 червня до 1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жовтня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2021 року.</w:t>
      </w:r>
    </w:p>
    <w:p w14:paraId="4D570F2C" w14:textId="77777777" w:rsidR="00C802C9" w:rsidRPr="00C802C9" w:rsidRDefault="00C802C9" w:rsidP="00C802C9">
      <w:pPr>
        <w:shd w:val="clear" w:color="auto" w:fill="F9F9F9"/>
        <w:spacing w:before="300"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3.3.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Щоб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оцінити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роботи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організатори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Конкурсу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формують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журі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до складу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якого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входять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працівники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Служби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редакції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журналів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«Практика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управління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дошкільним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закладом» та «Практика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управління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закладом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освіти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»,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освітні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експерти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.</w:t>
      </w:r>
    </w:p>
    <w:p w14:paraId="1FEDF71C" w14:textId="77777777" w:rsidR="00C802C9" w:rsidRPr="00C802C9" w:rsidRDefault="00C802C9" w:rsidP="00C802C9">
      <w:pPr>
        <w:shd w:val="clear" w:color="auto" w:fill="F9F9F9"/>
        <w:spacing w:before="300"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3.4.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Журі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розглядає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конкурсні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роботи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й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обирає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переможців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.</w:t>
      </w:r>
    </w:p>
    <w:p w14:paraId="072DA4C6" w14:textId="77777777" w:rsidR="00C802C9" w:rsidRPr="00C802C9" w:rsidRDefault="00C802C9" w:rsidP="00C802C9">
      <w:pPr>
        <w:shd w:val="clear" w:color="auto" w:fill="F9F9F9"/>
        <w:spacing w:before="300"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3.5.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Журі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оцінює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конкурсні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роботи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за такими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критеріями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:</w:t>
      </w:r>
    </w:p>
    <w:p w14:paraId="7D16EADC" w14:textId="77777777" w:rsidR="00C802C9" w:rsidRPr="00C802C9" w:rsidRDefault="00C802C9" w:rsidP="00C802C9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lastRenderedPageBreak/>
        <w:t>актуальність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новизна,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оригінальність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;</w:t>
      </w:r>
    </w:p>
    <w:p w14:paraId="733CFD32" w14:textId="77777777" w:rsidR="00C802C9" w:rsidRPr="00C802C9" w:rsidRDefault="00C802C9" w:rsidP="00C802C9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системність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практична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значимість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;</w:t>
      </w:r>
    </w:p>
    <w:p w14:paraId="05CA4A00" w14:textId="77777777" w:rsidR="00C802C9" w:rsidRPr="00C802C9" w:rsidRDefault="00C802C9" w:rsidP="00C802C9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технологічна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можливість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упроваджувати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в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різних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закладах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загальної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середньої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та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дошкільної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освіти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;</w:t>
      </w:r>
    </w:p>
    <w:p w14:paraId="3C858597" w14:textId="77777777" w:rsidR="00C802C9" w:rsidRPr="00C802C9" w:rsidRDefault="00C802C9" w:rsidP="00C802C9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усвідомлення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сутності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підходів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на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яких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ґрунтується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забезпечення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якості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управлінських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процесів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;</w:t>
      </w:r>
    </w:p>
    <w:p w14:paraId="6962D668" w14:textId="77777777" w:rsidR="00C802C9" w:rsidRPr="00C802C9" w:rsidRDefault="00C802C9" w:rsidP="00C802C9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культура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оформлення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конкурсної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роботи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: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глибина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розкриття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теми;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структурованість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логічність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і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технологічна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грамотність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матеріалів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; простота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викладу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тощо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.</w:t>
      </w:r>
    </w:p>
    <w:p w14:paraId="0FC84AD8" w14:textId="77777777" w:rsidR="00C802C9" w:rsidRPr="00C802C9" w:rsidRDefault="00C802C9" w:rsidP="00C802C9">
      <w:pPr>
        <w:shd w:val="clear" w:color="auto" w:fill="F9F9F9"/>
        <w:spacing w:before="300"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3.6.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Найліпші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конкурсні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роботи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будуть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опубліковані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в журналах «Практика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управління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дошкільним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закладом» та «Практика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управління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закладом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освіти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».</w:t>
      </w:r>
    </w:p>
    <w:p w14:paraId="11EC0C00" w14:textId="77777777" w:rsidR="00C802C9" w:rsidRPr="00C802C9" w:rsidRDefault="00C802C9" w:rsidP="00C802C9">
      <w:pPr>
        <w:shd w:val="clear" w:color="auto" w:fill="F9F9F9"/>
        <w:spacing w:before="300"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3.7.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Переможці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Конкурсу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отримають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грошові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премії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у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розмірі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20 000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грн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(до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вирахування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податку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на доходи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фізичних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осіб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) та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навчання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у 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fldChar w:fldCharType="begin"/>
      </w: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instrText xml:space="preserve"> HYPERLINK "https://school.pedrada.com.ua/?utm_source=best.pedrada.com.ua&amp;utm_medium=refer&amp;utm_campaign=dyrector_rocky_2021&amp;utm_term=polozhennya" \t "_blank" </w:instrText>
      </w: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fldChar w:fldCharType="separate"/>
      </w:r>
      <w:r w:rsidRPr="00C802C9">
        <w:rPr>
          <w:rFonts w:ascii="Open Sans" w:eastAsia="Times New Roman" w:hAnsi="Open Sans" w:cs="Open Sans"/>
          <w:color w:val="5A5A5A"/>
          <w:sz w:val="24"/>
          <w:szCs w:val="24"/>
          <w:u w:val="single"/>
          <w:lang w:val="ru-UA" w:eastAsia="ru-UA"/>
        </w:rPr>
        <w:t>Вищій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u w:val="single"/>
          <w:lang w:val="ru-UA" w:eastAsia="ru-UA"/>
        </w:rPr>
        <w:t>школі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u w:val="single"/>
          <w:lang w:val="ru-UA" w:eastAsia="ru-UA"/>
        </w:rPr>
        <w:t>освітнього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u w:val="single"/>
          <w:lang w:val="ru-UA" w:eastAsia="ru-UA"/>
        </w:rPr>
        <w:t xml:space="preserve"> менеджменту</w:t>
      </w: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fldChar w:fldCharType="end"/>
      </w: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 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від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MCFR за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експрес-програмою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підвищення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кваліфікації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.</w:t>
      </w:r>
    </w:p>
    <w:p w14:paraId="27951313" w14:textId="77777777" w:rsidR="00C802C9" w:rsidRPr="00C802C9" w:rsidRDefault="00C802C9" w:rsidP="00C802C9">
      <w:pPr>
        <w:shd w:val="clear" w:color="auto" w:fill="F9F9F9"/>
        <w:spacing w:before="300"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3.8.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Організатори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Конкурсу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мають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право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засновувати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номінації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та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вручати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додаткові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подарунки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залучати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до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співпраці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партнерів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Конкурсу,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надавати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партнерам і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зацікавленим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благодійним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організаціям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змогу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вручати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подарунки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учасникам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Конкурсу.</w:t>
      </w:r>
    </w:p>
    <w:p w14:paraId="1D0986C9" w14:textId="77777777" w:rsidR="00C802C9" w:rsidRPr="00C802C9" w:rsidRDefault="00C802C9" w:rsidP="00C802C9">
      <w:pPr>
        <w:shd w:val="clear" w:color="auto" w:fill="F9F9F9"/>
        <w:spacing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br/>
      </w:r>
    </w:p>
    <w:p w14:paraId="1184A06B" w14:textId="77777777" w:rsidR="00C802C9" w:rsidRPr="00C802C9" w:rsidRDefault="00C802C9" w:rsidP="00C802C9">
      <w:pPr>
        <w:shd w:val="clear" w:color="auto" w:fill="F9F9F9"/>
        <w:spacing w:before="100" w:beforeAutospacing="1" w:after="100" w:afterAutospacing="1" w:line="360" w:lineRule="atLeast"/>
        <w:outlineLvl w:val="2"/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</w:pPr>
      <w:r w:rsidRPr="00C802C9"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  <w:t xml:space="preserve">4. </w:t>
      </w:r>
      <w:proofErr w:type="spellStart"/>
      <w:r w:rsidRPr="00C802C9"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  <w:t>Умови</w:t>
      </w:r>
      <w:proofErr w:type="spellEnd"/>
      <w:r w:rsidRPr="00C802C9"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  <w:t>участі</w:t>
      </w:r>
      <w:proofErr w:type="spellEnd"/>
      <w:r w:rsidRPr="00C802C9"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  <w:t xml:space="preserve"> в </w:t>
      </w:r>
      <w:proofErr w:type="spellStart"/>
      <w:r w:rsidRPr="00C802C9">
        <w:rPr>
          <w:rFonts w:ascii="Open Sans" w:eastAsia="Times New Roman" w:hAnsi="Open Sans" w:cs="Open Sans"/>
          <w:b/>
          <w:bCs/>
          <w:color w:val="5A5A5A"/>
          <w:sz w:val="27"/>
          <w:szCs w:val="27"/>
          <w:lang w:val="ru-UA" w:eastAsia="ru-UA"/>
        </w:rPr>
        <w:t>Конкурсі</w:t>
      </w:r>
      <w:proofErr w:type="spellEnd"/>
    </w:p>
    <w:p w14:paraId="280AE2B8" w14:textId="77777777" w:rsidR="00C802C9" w:rsidRPr="00C802C9" w:rsidRDefault="00C802C9" w:rsidP="00C802C9">
      <w:pPr>
        <w:shd w:val="clear" w:color="auto" w:fill="F9F9F9"/>
        <w:spacing w:before="300"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4.1. Для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участі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в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Конкурсі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учасники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мають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:</w:t>
      </w:r>
    </w:p>
    <w:p w14:paraId="44A86903" w14:textId="77777777" w:rsidR="00C802C9" w:rsidRPr="00C802C9" w:rsidRDefault="00C802C9" w:rsidP="00C802C9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заповнити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заявку на участь у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Конкурсі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на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сайті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Конкурсу — best.pedrada.com.ua;</w:t>
      </w:r>
    </w:p>
    <w:p w14:paraId="0BD16C76" w14:textId="77777777" w:rsidR="00C802C9" w:rsidRPr="00C802C9" w:rsidRDefault="00C802C9" w:rsidP="00C802C9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завантажити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матеріали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конкурсної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роботи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в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електронному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вигляді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на best.pedrada.com.ua.</w:t>
      </w:r>
    </w:p>
    <w:p w14:paraId="7C3AB292" w14:textId="77777777" w:rsidR="00C802C9" w:rsidRPr="00C802C9" w:rsidRDefault="00C802C9" w:rsidP="00C802C9">
      <w:pPr>
        <w:shd w:val="clear" w:color="auto" w:fill="F9F9F9"/>
        <w:spacing w:before="300"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4.2. Заявка на участь у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Конкурсі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підтверджує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те,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що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учасник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погоджується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з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умовами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його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проведення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.</w:t>
      </w:r>
    </w:p>
    <w:p w14:paraId="72E184B8" w14:textId="77777777" w:rsidR="00C802C9" w:rsidRPr="00C802C9" w:rsidRDefault="00C802C9" w:rsidP="00C802C9">
      <w:pPr>
        <w:shd w:val="clear" w:color="auto" w:fill="F9F9F9"/>
        <w:spacing w:before="300"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4.3.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Під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час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оформлення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конкурсної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роботи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слід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керуватися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правилами:</w:t>
      </w:r>
    </w:p>
    <w:p w14:paraId="50AD8672" w14:textId="77777777" w:rsidR="00C802C9" w:rsidRPr="00C802C9" w:rsidRDefault="00C802C9" w:rsidP="00C802C9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набирати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матеріали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в текстовому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редакторі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Word (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міжрядковий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інтервал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1; кегль 12);</w:t>
      </w:r>
    </w:p>
    <w:p w14:paraId="2C0BAA24" w14:textId="77777777" w:rsidR="00C802C9" w:rsidRPr="00C802C9" w:rsidRDefault="00C802C9" w:rsidP="00C802C9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виділяти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смислові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наголоси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в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тексті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напівжирним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шрифтом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чи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курсивом;</w:t>
      </w:r>
    </w:p>
    <w:p w14:paraId="568B020A" w14:textId="77777777" w:rsidR="00C802C9" w:rsidRPr="00C802C9" w:rsidRDefault="00C802C9" w:rsidP="00C802C9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lastRenderedPageBreak/>
        <w:t>подавати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таблиці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з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назвами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та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посиланнями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на них у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тексті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з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вивіреними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даними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;</w:t>
      </w:r>
    </w:p>
    <w:p w14:paraId="2DDA271B" w14:textId="77777777" w:rsidR="00C802C9" w:rsidRPr="00C802C9" w:rsidRDefault="00C802C9" w:rsidP="00C802C9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додавати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до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роботи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окремими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файлами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ілюстрації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: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презентації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фото, рисунки,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схеми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тощо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та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зазначати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посилання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на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кожну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з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ілюстрацій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;</w:t>
      </w:r>
    </w:p>
    <w:p w14:paraId="251AF8BF" w14:textId="77777777" w:rsidR="00C802C9" w:rsidRPr="00C802C9" w:rsidRDefault="00C802C9" w:rsidP="00C802C9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не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розміщувати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ілюстрації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всередині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тексту, 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прикріплювати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їх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окремими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файлами;</w:t>
      </w:r>
    </w:p>
    <w:p w14:paraId="16C58B3C" w14:textId="77777777" w:rsidR="00C802C9" w:rsidRPr="00C802C9" w:rsidRDefault="00C802C9" w:rsidP="00C802C9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зберігати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растрові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зображення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ілюстрацій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у форматах TIFF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чи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JPG (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роздільна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здатність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не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менше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300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dpi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),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векторну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графіку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— у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форматі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EPS (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версії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8.0).</w:t>
      </w:r>
    </w:p>
    <w:p w14:paraId="337B3A17" w14:textId="77777777" w:rsidR="00C802C9" w:rsidRPr="00C802C9" w:rsidRDefault="00C802C9" w:rsidP="00C802C9">
      <w:pPr>
        <w:shd w:val="clear" w:color="auto" w:fill="F9F9F9"/>
        <w:spacing w:before="300"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4.4.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Усі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рішення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з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питань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що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не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зумовлені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цим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Положенням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журі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ухвалює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в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робочому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порядку,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ураховуючи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інтереси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учасників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Конкурсу.</w:t>
      </w:r>
    </w:p>
    <w:p w14:paraId="19704E2A" w14:textId="77777777" w:rsidR="00C802C9" w:rsidRPr="00C802C9" w:rsidRDefault="00C802C9" w:rsidP="00C802C9">
      <w:pPr>
        <w:shd w:val="clear" w:color="auto" w:fill="F9F9F9"/>
        <w:spacing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br/>
      </w:r>
    </w:p>
    <w:p w14:paraId="04735184" w14:textId="77777777" w:rsidR="00C802C9" w:rsidRPr="00C802C9" w:rsidRDefault="00C802C9" w:rsidP="00C802C9">
      <w:pPr>
        <w:shd w:val="clear" w:color="auto" w:fill="F9F9F9"/>
        <w:spacing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pict w14:anchorId="1FC34A8E">
          <v:rect id="_x0000_i1025" style="width:0;height:0" o:hralign="center" o:hrstd="t" o:hr="t" fillcolor="#a0a0a0" stroked="f"/>
        </w:pict>
      </w:r>
    </w:p>
    <w:p w14:paraId="570AE787" w14:textId="77777777" w:rsidR="00C802C9" w:rsidRPr="00C802C9" w:rsidRDefault="00C802C9" w:rsidP="00C802C9">
      <w:pPr>
        <w:shd w:val="clear" w:color="auto" w:fill="F9F9F9"/>
        <w:spacing w:before="300" w:after="0" w:line="360" w:lineRule="atLeast"/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</w:pPr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*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Орієнтиром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про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які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саме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управлінські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процеси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йдеться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може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бути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розділ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четвертий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«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Управлінські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процеси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закладу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освіти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»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Критеріїв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оцінювання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освітніх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і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управлінських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процесів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закладу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освіти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та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внутрішньої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системи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забезпечення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якості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освіти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наведених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у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додатку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до Порядку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проведення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інституційного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аудиту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закладів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загальної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середньої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освіти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,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затвердженого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наказом МОН </w:t>
      </w:r>
      <w:proofErr w:type="spellStart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>від</w:t>
      </w:r>
      <w:proofErr w:type="spellEnd"/>
      <w:r w:rsidRPr="00C802C9">
        <w:rPr>
          <w:rFonts w:ascii="Open Sans" w:eastAsia="Times New Roman" w:hAnsi="Open Sans" w:cs="Open Sans"/>
          <w:color w:val="5A5A5A"/>
          <w:sz w:val="24"/>
          <w:szCs w:val="24"/>
          <w:lang w:val="ru-UA" w:eastAsia="ru-UA"/>
        </w:rPr>
        <w:t xml:space="preserve"> 09.09.2019 № 17.</w:t>
      </w:r>
    </w:p>
    <w:p w14:paraId="5861172F" w14:textId="77777777" w:rsidR="00B562C7" w:rsidRPr="00C802C9" w:rsidRDefault="00C802C9">
      <w:pPr>
        <w:rPr>
          <w:lang w:val="ru-UA"/>
        </w:rPr>
      </w:pPr>
    </w:p>
    <w:sectPr w:rsidR="00B562C7" w:rsidRPr="00C8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4EB4"/>
    <w:multiLevelType w:val="multilevel"/>
    <w:tmpl w:val="2AD2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A0CCE"/>
    <w:multiLevelType w:val="multilevel"/>
    <w:tmpl w:val="C720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A77DEF"/>
    <w:multiLevelType w:val="multilevel"/>
    <w:tmpl w:val="41D4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B020E"/>
    <w:multiLevelType w:val="multilevel"/>
    <w:tmpl w:val="DDB6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C9"/>
    <w:rsid w:val="00113855"/>
    <w:rsid w:val="007F3BF4"/>
    <w:rsid w:val="00C8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8F37"/>
  <w15:chartTrackingRefBased/>
  <w15:docId w15:val="{8EE8E2CD-68D5-4AC9-82CF-979A50A5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paragraph" w:styleId="3">
    <w:name w:val="heading 3"/>
    <w:basedOn w:val="a"/>
    <w:link w:val="30"/>
    <w:uiPriority w:val="9"/>
    <w:qFormat/>
    <w:rsid w:val="00C80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2C9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customStyle="1" w:styleId="30">
    <w:name w:val="Заголовок 3 Знак"/>
    <w:basedOn w:val="a0"/>
    <w:link w:val="3"/>
    <w:uiPriority w:val="9"/>
    <w:rsid w:val="00C802C9"/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paragraph" w:styleId="a3">
    <w:name w:val="Normal (Web)"/>
    <w:basedOn w:val="a"/>
    <w:uiPriority w:val="99"/>
    <w:semiHidden/>
    <w:unhideWhenUsed/>
    <w:rsid w:val="00C8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Emphasis"/>
    <w:basedOn w:val="a0"/>
    <w:uiPriority w:val="20"/>
    <w:qFormat/>
    <w:rsid w:val="00C802C9"/>
    <w:rPr>
      <w:i/>
      <w:iCs/>
    </w:rPr>
  </w:style>
  <w:style w:type="character" w:styleId="a5">
    <w:name w:val="Hyperlink"/>
    <w:basedOn w:val="a0"/>
    <w:uiPriority w:val="99"/>
    <w:semiHidden/>
    <w:unhideWhenUsed/>
    <w:rsid w:val="00C80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avdnz.mcfr.ua/?utm_source=best.pedrada.com.ua&amp;utm_medium=refer&amp;utm_campaign=dyrector_rocky_2021&amp;utm_term=polozhennya" TargetMode="External"/><Relationship Id="rId5" Type="http://schemas.openxmlformats.org/officeDocument/2006/relationships/hyperlink" Target="https://edirshkoly.mcfr.ua/?utm_source=best.pedrada.com.ua&amp;utm_medium=refer&amp;utm_campaign=dyrector_rocky_2021&amp;utm_term=polozhen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Федина</dc:creator>
  <cp:keywords/>
  <dc:description/>
  <cp:lastModifiedBy>Юлія Федина</cp:lastModifiedBy>
  <cp:revision>1</cp:revision>
  <dcterms:created xsi:type="dcterms:W3CDTF">2021-05-31T14:02:00Z</dcterms:created>
  <dcterms:modified xsi:type="dcterms:W3CDTF">2021-05-31T14:03:00Z</dcterms:modified>
</cp:coreProperties>
</file>